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Kritéria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pro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řijet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í dít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ěte do Mateřsk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školy Libochovany,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ísp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ěvkov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á organizace, na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školn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í rok 2025/2026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budou do mateřsk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školy přij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ímány podle 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ěchto krit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érií: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1.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s trval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 bydli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štěm ve sp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ádových obcích, které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řed zač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átkem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ího roku dovr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nejmén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 třet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ího roku 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ěku, v pořad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od nejstar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ího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narozen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do 31.8.2022) - povinné kritérium dle zákona 56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/200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Sb.,§ 34, odst. 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2.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s trval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 bydli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štěm ve sp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ádových obcích, které dovr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let v období od 1. 9. 2025 do 31.12. 2025, v 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řad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od nejstar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ího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3.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s trval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 bydli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štěm ve sp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ádových  obcích, které dovr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let v období od 1. 1. 2026 do 31. 8. 2026 v 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řad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od nejstar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ího.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4.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ěti, s trval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 bydli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štěm v ostatn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ích obcích, které nejsou spádové, které dovr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let v období do 31. 12. 2025 v 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řad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od nejstar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ího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5. 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s trval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 bydli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štěm v ostatn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ích obcích, které nejsou spádové, které dovr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let v období od 1.1. 2026 do 31.8. 2026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Do mate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řsk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školy mohou b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ýt k 1.9.2025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řijaty děti po dovršen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dvou let (tzn.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narozen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nejdéle 31.8.2023).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jsou přij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ímány do vý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še povolen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ého 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čtu dět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í, uvedeném ve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 rejst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íku.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Dle § 50 zákona 258/200 Sb.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ůže mateřsk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škola přijmout pouze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ě, kter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se podrobilo stanoveným pravidelným 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čkov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áním, nebo má doklad,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že je proti 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ákaze imunní, nebo se nem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ůže očkov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ání podrobit pro kontraindikaci (neplatí pro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jeden rok před zah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ájením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docházky).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ři nesplněn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í n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é z podmínek, nebo napln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í kapacity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školy, je v pravomoci ředitelky d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ít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ě do MŠ nepřijmout.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V Libochovanech 24. 3. 2025</w:t>
        <w:tab/>
        <w:tab/>
        <w:tab/>
        <w:t xml:space="preserve">                      Romana Vocásková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ab/>
        <w:tab/>
        <w:tab/>
        <w:tab/>
        <w:tab/>
        <w:tab/>
        <w:tab/>
        <w:t xml:space="preserve">        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ředitelka MŠ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