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333B2" w14:textId="77777777" w:rsidR="00F0510B" w:rsidRPr="00F0510B" w:rsidRDefault="00EE47DF" w:rsidP="00F0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14:paraId="5E231C6A" w14:textId="77777777" w:rsidR="00F0510B" w:rsidRPr="00EE47DF" w:rsidRDefault="00F0510B" w:rsidP="00EE47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cs-CZ"/>
        </w:rPr>
      </w:pPr>
      <w:r w:rsidRPr="00EE47DF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cs-CZ"/>
        </w:rPr>
        <w:t>PŘÍJMENÍ PO ROZVODU</w:t>
      </w:r>
    </w:p>
    <w:p w14:paraId="0405E5CE" w14:textId="77777777" w:rsidR="00F0510B" w:rsidRPr="00EE47DF" w:rsidRDefault="00F0510B" w:rsidP="00F0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cs-CZ"/>
        </w:rPr>
      </w:pPr>
      <w:r w:rsidRPr="00EE47D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Základní informace </w:t>
      </w:r>
      <w:r w:rsidR="00EE47D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 </w:t>
      </w:r>
    </w:p>
    <w:p w14:paraId="714DB466" w14:textId="77777777" w:rsidR="00F0510B" w:rsidRPr="00F0510B" w:rsidRDefault="00F0510B" w:rsidP="00F0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510B">
        <w:rPr>
          <w:rFonts w:ascii="Times New Roman" w:eastAsia="Times New Roman" w:hAnsi="Times New Roman" w:cs="Times New Roman"/>
          <w:sz w:val="24"/>
          <w:szCs w:val="24"/>
          <w:lang w:eastAsia="cs-CZ"/>
        </w:rPr>
        <w:t>Manžel, který přijal příjmení druhého manžela, může do šesti měsíců po rozvodu manželství oznámit matričnímu úřadu, že přijímá zpět své dřívější příjmení. To platí i tehdy, hodlá-li manžel, který přijal příjmení druhého manžela s tím, že bude ke společnému příjmení připojovat své dosavadní příjmení, popřípadě první ze svých příjmení, užívat napříště jen své dřívější příjmení.</w:t>
      </w:r>
    </w:p>
    <w:p w14:paraId="4D0E9F78" w14:textId="77777777" w:rsidR="00F0510B" w:rsidRPr="00EE47DF" w:rsidRDefault="00F0510B" w:rsidP="00F0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EE47D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>Kdo je oprávněn v této věci jednat (podat žádost apod.):</w:t>
      </w:r>
    </w:p>
    <w:p w14:paraId="4508A685" w14:textId="77777777" w:rsidR="00F0510B" w:rsidRPr="00F0510B" w:rsidRDefault="00F0510B" w:rsidP="00F0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510B">
        <w:rPr>
          <w:rFonts w:ascii="Times New Roman" w:eastAsia="Times New Roman" w:hAnsi="Times New Roman" w:cs="Times New Roman"/>
          <w:sz w:val="24"/>
          <w:szCs w:val="24"/>
          <w:lang w:eastAsia="cs-CZ"/>
        </w:rPr>
        <w:t>Rozvedený/á manžel/ka, který/á při uzavření manželství přijal</w:t>
      </w:r>
      <w:r w:rsidR="00BF775F">
        <w:rPr>
          <w:rFonts w:ascii="Times New Roman" w:eastAsia="Times New Roman" w:hAnsi="Times New Roman" w:cs="Times New Roman"/>
          <w:sz w:val="24"/>
          <w:szCs w:val="24"/>
          <w:lang w:eastAsia="cs-CZ"/>
        </w:rPr>
        <w:t>/a</w:t>
      </w:r>
      <w:r w:rsidRPr="00F051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příjmení druhého manžela.</w:t>
      </w:r>
    </w:p>
    <w:p w14:paraId="77E913AE" w14:textId="77777777" w:rsidR="00F0510B" w:rsidRPr="00F0510B" w:rsidRDefault="00F0510B" w:rsidP="00F0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510B">
        <w:rPr>
          <w:rFonts w:ascii="Times New Roman" w:eastAsia="Times New Roman" w:hAnsi="Times New Roman" w:cs="Times New Roman"/>
          <w:sz w:val="24"/>
          <w:szCs w:val="24"/>
          <w:lang w:eastAsia="cs-CZ"/>
        </w:rPr>
        <w:t>Rozvedený/á manžel/ka, který/á spolu s příjmením společným na druhém místě uváděl</w:t>
      </w:r>
      <w:r w:rsidR="00BF775F">
        <w:rPr>
          <w:rFonts w:ascii="Times New Roman" w:eastAsia="Times New Roman" w:hAnsi="Times New Roman" w:cs="Times New Roman"/>
          <w:sz w:val="24"/>
          <w:szCs w:val="24"/>
          <w:lang w:eastAsia="cs-CZ"/>
        </w:rPr>
        <w:t>/a</w:t>
      </w:r>
      <w:r w:rsidRPr="00F051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příjmení předchozí.</w:t>
      </w:r>
    </w:p>
    <w:p w14:paraId="43A4F279" w14:textId="77777777" w:rsidR="00F0510B" w:rsidRPr="00EE47DF" w:rsidRDefault="00F0510B" w:rsidP="00F0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EE47D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Jaké jsou podmínky a postup </w:t>
      </w:r>
      <w:r w:rsidR="00EE47DF" w:rsidRPr="00EE47D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 </w:t>
      </w:r>
    </w:p>
    <w:p w14:paraId="29F6D3F7" w14:textId="77777777" w:rsidR="00F0510B" w:rsidRPr="00F0510B" w:rsidRDefault="00F0510B" w:rsidP="00F0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510B">
        <w:rPr>
          <w:rFonts w:ascii="Times New Roman" w:eastAsia="Times New Roman" w:hAnsi="Times New Roman" w:cs="Times New Roman"/>
          <w:sz w:val="24"/>
          <w:szCs w:val="24"/>
          <w:lang w:eastAsia="cs-CZ"/>
        </w:rPr>
        <w:t>Splnění všech požadovaných náležitostí.</w:t>
      </w:r>
    </w:p>
    <w:p w14:paraId="7D2E738F" w14:textId="77777777" w:rsidR="00F0510B" w:rsidRPr="00F0510B" w:rsidRDefault="00F0510B" w:rsidP="00F0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510B">
        <w:rPr>
          <w:rFonts w:ascii="Times New Roman" w:eastAsia="Times New Roman" w:hAnsi="Times New Roman" w:cs="Times New Roman"/>
          <w:sz w:val="24"/>
          <w:szCs w:val="24"/>
          <w:lang w:eastAsia="cs-CZ"/>
        </w:rPr>
        <w:t>Oznámení učiňte písemně nebo ústně do protokolu.</w:t>
      </w:r>
    </w:p>
    <w:p w14:paraId="7A142411" w14:textId="77777777" w:rsidR="00F0510B" w:rsidRPr="00EE47DF" w:rsidRDefault="00F0510B" w:rsidP="00F0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EE47D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Na kterém úřadu můžete tuto </w:t>
      </w:r>
      <w:r w:rsidR="00EE47D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>situaci řešit</w:t>
      </w:r>
    </w:p>
    <w:p w14:paraId="71B88866" w14:textId="77777777" w:rsidR="00F0510B" w:rsidRPr="00F0510B" w:rsidRDefault="00F0510B" w:rsidP="00F0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510B">
        <w:rPr>
          <w:rFonts w:ascii="Times New Roman" w:eastAsia="Times New Roman" w:hAnsi="Times New Roman" w:cs="Times New Roman"/>
          <w:sz w:val="24"/>
          <w:szCs w:val="24"/>
          <w:lang w:eastAsia="cs-CZ"/>
        </w:rPr>
        <w:t>Můžete se obrátit na kterýkoliv matriční úřad. Bylo-li manželství uzavřeno v cizině, lze učinit oznámení také prostřednictvím </w:t>
      </w:r>
      <w:hyperlink r:id="rId5" w:tgtFrame="_blank" w:history="1">
        <w:r w:rsidRPr="00F05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zastupitelského úřadu ČR</w:t>
        </w:r>
      </w:hyperlink>
      <w:r w:rsidRPr="00F0510B">
        <w:rPr>
          <w:rFonts w:ascii="Times New Roman" w:eastAsia="Times New Roman" w:hAnsi="Times New Roman" w:cs="Times New Roman"/>
          <w:sz w:val="24"/>
          <w:szCs w:val="24"/>
          <w:lang w:eastAsia="cs-CZ"/>
        </w:rPr>
        <w:t> v cizině, anebo přímo u </w:t>
      </w:r>
      <w:hyperlink r:id="rId6" w:tgtFrame="_blank" w:history="1">
        <w:r w:rsidRPr="00F05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zvláštní matriky v Brně.</w:t>
        </w:r>
      </w:hyperlink>
    </w:p>
    <w:p w14:paraId="4F55A45E" w14:textId="77777777" w:rsidR="00EE47DF" w:rsidRPr="00296860" w:rsidRDefault="00EE47DF" w:rsidP="00EE47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t>Obecní úřad Albrechtice, Obecní 186, 735 43 Albrechtice</w:t>
      </w:r>
    </w:p>
    <w:p w14:paraId="238F98F8" w14:textId="6AD1F55A" w:rsidR="00EE47DF" w:rsidRPr="00296860" w:rsidRDefault="00EE47DF" w:rsidP="00EE47DF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296860">
        <w:rPr>
          <w:rFonts w:ascii="Times New Roman" w:hAnsi="Times New Roman" w:cs="Times New Roman"/>
          <w:sz w:val="24"/>
          <w:szCs w:val="24"/>
          <w:lang w:eastAsia="cs-CZ"/>
        </w:rPr>
        <w:t>matrika, 1. patro</w:t>
      </w:r>
    </w:p>
    <w:p w14:paraId="56EC2E5F" w14:textId="59422F97" w:rsidR="00EE47DF" w:rsidRPr="00296860" w:rsidRDefault="00EE47DF" w:rsidP="00EE47DF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296860">
        <w:rPr>
          <w:rFonts w:ascii="Times New Roman" w:hAnsi="Times New Roman" w:cs="Times New Roman"/>
          <w:sz w:val="24"/>
          <w:szCs w:val="24"/>
          <w:lang w:eastAsia="cs-CZ"/>
        </w:rPr>
        <w:t>- pondělí</w:t>
      </w:r>
      <w:r w:rsidRPr="00296860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8.00-12.00 hodin</w:t>
      </w:r>
      <w:r w:rsidRPr="00296860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    13</w:t>
      </w:r>
      <w:r w:rsidR="006575C9">
        <w:rPr>
          <w:rFonts w:ascii="Times New Roman" w:hAnsi="Times New Roman" w:cs="Times New Roman"/>
          <w:sz w:val="24"/>
          <w:szCs w:val="24"/>
          <w:lang w:eastAsia="cs-CZ"/>
        </w:rPr>
        <w:t>.0</w:t>
      </w:r>
      <w:r w:rsidRPr="00296860">
        <w:rPr>
          <w:rFonts w:ascii="Times New Roman" w:hAnsi="Times New Roman" w:cs="Times New Roman"/>
          <w:sz w:val="24"/>
          <w:szCs w:val="24"/>
          <w:lang w:eastAsia="cs-CZ"/>
        </w:rPr>
        <w:t>0-17.00 hodin</w:t>
      </w:r>
    </w:p>
    <w:p w14:paraId="3DBBC8E8" w14:textId="3000E2CF" w:rsidR="00EE47DF" w:rsidRPr="00296860" w:rsidRDefault="00EE47DF" w:rsidP="00EE47DF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296860">
        <w:rPr>
          <w:rFonts w:ascii="Times New Roman" w:hAnsi="Times New Roman" w:cs="Times New Roman"/>
          <w:sz w:val="24"/>
          <w:szCs w:val="24"/>
          <w:lang w:eastAsia="cs-CZ"/>
        </w:rPr>
        <w:t>- středa</w:t>
      </w:r>
      <w:r w:rsidRPr="00296860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8.00-12.00 hodin</w:t>
      </w:r>
      <w:r w:rsidRPr="00296860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    13</w:t>
      </w:r>
      <w:r w:rsidR="006575C9">
        <w:rPr>
          <w:rFonts w:ascii="Times New Roman" w:hAnsi="Times New Roman" w:cs="Times New Roman"/>
          <w:sz w:val="24"/>
          <w:szCs w:val="24"/>
          <w:lang w:eastAsia="cs-CZ"/>
        </w:rPr>
        <w:t>.0</w:t>
      </w:r>
      <w:r w:rsidRPr="00296860">
        <w:rPr>
          <w:rFonts w:ascii="Times New Roman" w:hAnsi="Times New Roman" w:cs="Times New Roman"/>
          <w:sz w:val="24"/>
          <w:szCs w:val="24"/>
          <w:lang w:eastAsia="cs-CZ"/>
        </w:rPr>
        <w:t>0-17.00 hodin</w:t>
      </w:r>
    </w:p>
    <w:p w14:paraId="68173050" w14:textId="77777777" w:rsidR="00EE47DF" w:rsidRDefault="00EE47DF" w:rsidP="00EE47DF">
      <w:pPr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</w:pPr>
    </w:p>
    <w:p w14:paraId="5CA56A91" w14:textId="77777777" w:rsidR="00F0510B" w:rsidRPr="00EE47DF" w:rsidRDefault="00F0510B" w:rsidP="00F0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EE47D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Jaké doklady </w:t>
      </w:r>
      <w:r w:rsidR="00EE47D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>mít s sebou</w:t>
      </w:r>
    </w:p>
    <w:p w14:paraId="50F62008" w14:textId="77777777" w:rsidR="00F0510B" w:rsidRPr="00F0510B" w:rsidRDefault="00F0510B" w:rsidP="00F0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510B">
        <w:rPr>
          <w:rFonts w:ascii="Times New Roman" w:eastAsia="Times New Roman" w:hAnsi="Times New Roman" w:cs="Times New Roman"/>
          <w:sz w:val="24"/>
          <w:szCs w:val="24"/>
          <w:lang w:eastAsia="cs-CZ"/>
        </w:rPr>
        <w:t>Na úřadě předložte:</w:t>
      </w:r>
    </w:p>
    <w:p w14:paraId="0D37A734" w14:textId="77777777" w:rsidR="00F0510B" w:rsidRPr="00EE47DF" w:rsidRDefault="00EE47DF" w:rsidP="00EE47DF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EE47DF">
        <w:rPr>
          <w:rFonts w:ascii="Times New Roman" w:hAnsi="Times New Roman" w:cs="Times New Roman"/>
          <w:sz w:val="24"/>
          <w:szCs w:val="24"/>
          <w:lang w:eastAsia="cs-CZ"/>
        </w:rPr>
        <w:t>-</w:t>
      </w:r>
      <w:r w:rsidR="00F0510B" w:rsidRPr="00EE47DF">
        <w:rPr>
          <w:rFonts w:ascii="Times New Roman" w:hAnsi="Times New Roman" w:cs="Times New Roman"/>
          <w:sz w:val="24"/>
          <w:szCs w:val="24"/>
          <w:lang w:eastAsia="cs-CZ"/>
        </w:rPr>
        <w:t>platný úřední průkaz, k</w:t>
      </w:r>
      <w:r w:rsidR="00BF775F">
        <w:rPr>
          <w:rFonts w:ascii="Times New Roman" w:hAnsi="Times New Roman" w:cs="Times New Roman"/>
          <w:sz w:val="24"/>
          <w:szCs w:val="24"/>
          <w:lang w:eastAsia="cs-CZ"/>
        </w:rPr>
        <w:t>terým prokážete svoji totožnost (občanský průkaz)</w:t>
      </w:r>
    </w:p>
    <w:p w14:paraId="2B1636A1" w14:textId="77777777" w:rsidR="00F0510B" w:rsidRPr="00EE47DF" w:rsidRDefault="00EE47DF" w:rsidP="00EE47DF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EE47DF">
        <w:rPr>
          <w:rFonts w:ascii="Times New Roman" w:hAnsi="Times New Roman" w:cs="Times New Roman"/>
          <w:sz w:val="24"/>
          <w:szCs w:val="24"/>
          <w:lang w:eastAsia="cs-CZ"/>
        </w:rPr>
        <w:t>-</w:t>
      </w:r>
      <w:r w:rsidR="00F0510B" w:rsidRPr="00EE47DF">
        <w:rPr>
          <w:rFonts w:ascii="Times New Roman" w:hAnsi="Times New Roman" w:cs="Times New Roman"/>
          <w:sz w:val="24"/>
          <w:szCs w:val="24"/>
          <w:lang w:eastAsia="cs-CZ"/>
        </w:rPr>
        <w:t>oddací list (nemusíte předkládat v případě, že oznámení činíte u matričního úřadu v místě uzavření manželství),</w:t>
      </w:r>
    </w:p>
    <w:p w14:paraId="0E3A95EF" w14:textId="77777777" w:rsidR="00F0510B" w:rsidRPr="00EE47DF" w:rsidRDefault="00EE47DF" w:rsidP="00EE47DF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EE47DF">
        <w:rPr>
          <w:rFonts w:ascii="Times New Roman" w:hAnsi="Times New Roman" w:cs="Times New Roman"/>
          <w:sz w:val="24"/>
          <w:szCs w:val="24"/>
          <w:lang w:eastAsia="cs-CZ"/>
        </w:rPr>
        <w:t>-</w:t>
      </w:r>
      <w:r w:rsidR="00F0510B" w:rsidRPr="00EE47DF">
        <w:rPr>
          <w:rFonts w:ascii="Times New Roman" w:hAnsi="Times New Roman" w:cs="Times New Roman"/>
          <w:sz w:val="24"/>
          <w:szCs w:val="24"/>
          <w:lang w:eastAsia="cs-CZ"/>
        </w:rPr>
        <w:t>doklad o rozvodu manželství s údajem o nabytí právní moci.</w:t>
      </w:r>
    </w:p>
    <w:p w14:paraId="7896A453" w14:textId="77777777" w:rsidR="00EE47DF" w:rsidRDefault="00EE47DF" w:rsidP="00F0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62AEE53" w14:textId="77777777" w:rsidR="00EE47DF" w:rsidRDefault="00EE47DF" w:rsidP="00F0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805CED3" w14:textId="77777777" w:rsidR="00F0510B" w:rsidRPr="00F0510B" w:rsidRDefault="00F0510B" w:rsidP="00F0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510B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Doklad, který je jinak třeba podle tohoto zákona předložit matričnímu úřadu, se nepředkládá, pokud si skutečnost  v něm uvedenou matriční úřad může ověřit z jim vedené matriční knihy, ze základního registru obyvatel, z informačního systému evidence obyvatel, z informačního systému cizinců, z  informačního systému evidence občanských průkazů nebo z informačního systému evidence cestovních dokladů (§ 81a zákona o matrikách).</w:t>
      </w:r>
    </w:p>
    <w:p w14:paraId="11DC6B58" w14:textId="77777777" w:rsidR="00F0510B" w:rsidRPr="00F0510B" w:rsidRDefault="00F0510B" w:rsidP="00F0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510B">
        <w:rPr>
          <w:rFonts w:ascii="Times New Roman" w:eastAsia="Times New Roman" w:hAnsi="Times New Roman" w:cs="Times New Roman"/>
          <w:sz w:val="24"/>
          <w:szCs w:val="24"/>
          <w:lang w:eastAsia="cs-CZ"/>
        </w:rPr>
        <w:t>Předkládá-li rozvedený manžel cizozemské doklady, je třeba, aby tyto měly náležitosti veřejné listiny, tj. musí být opatřeny potřebnými ověřeními, nestanoví-li mezinárodní smlouva jinak a úředně přeloženy do českého jazyka. Pravomocné cizozemské rozhodnutí o rozvodu manželství v případě, že je jedním z účastníků řízení státní občan České republiky, se uznává na území České republiky na základě rozhodnutí Nejvyššího soudu České republiky, nestanoví-li mezinárodní smlouva jinak.</w:t>
      </w:r>
    </w:p>
    <w:p w14:paraId="500EB7A7" w14:textId="77777777" w:rsidR="00F0510B" w:rsidRPr="00EE47DF" w:rsidRDefault="00F0510B" w:rsidP="00F0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EE47D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>Jaké jsou potřebné f</w:t>
      </w:r>
      <w:r w:rsidR="00EE47D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>ormuláře a kde jsou k dispozici</w:t>
      </w:r>
    </w:p>
    <w:p w14:paraId="5FA873B5" w14:textId="77777777" w:rsidR="00EE47DF" w:rsidRDefault="00F0510B" w:rsidP="00F0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51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 podání oznámení </w:t>
      </w:r>
      <w:r w:rsidR="00EE47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použijete formulář, který je k dostání na kterémkoliv matričním úřadě. </w:t>
      </w:r>
      <w:r w:rsidR="00EE47DF">
        <w:t xml:space="preserve"> </w:t>
      </w:r>
    </w:p>
    <w:p w14:paraId="5C6BD220" w14:textId="77777777" w:rsidR="00F0510B" w:rsidRPr="00EE47DF" w:rsidRDefault="00EE47DF" w:rsidP="00F0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EE47D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>S</w:t>
      </w:r>
      <w:r w:rsidR="00F0510B" w:rsidRPr="00EE47D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>právní a jiné</w:t>
      </w:r>
      <w:r w:rsidRPr="00EE47D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 poplatky  </w:t>
      </w:r>
    </w:p>
    <w:p w14:paraId="2F68FAA1" w14:textId="77777777" w:rsidR="00F0510B" w:rsidRPr="00F0510B" w:rsidRDefault="00F0510B" w:rsidP="00F0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510B">
        <w:rPr>
          <w:rFonts w:ascii="Times New Roman" w:eastAsia="Times New Roman" w:hAnsi="Times New Roman" w:cs="Times New Roman"/>
          <w:sz w:val="24"/>
          <w:szCs w:val="24"/>
          <w:lang w:eastAsia="cs-CZ"/>
        </w:rPr>
        <w:t>Správní ani jiné poplatky nejsou stanoveny.</w:t>
      </w:r>
    </w:p>
    <w:p w14:paraId="6963C6A1" w14:textId="77777777" w:rsidR="00F0510B" w:rsidRPr="00EE47DF" w:rsidRDefault="00EE47DF" w:rsidP="00F0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EE47D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>Jaké jsou lhůty pro vyřízení</w:t>
      </w:r>
    </w:p>
    <w:p w14:paraId="33C80E04" w14:textId="77777777" w:rsidR="00F0510B" w:rsidRPr="00F0510B" w:rsidRDefault="00F0510B" w:rsidP="00F0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510B">
        <w:rPr>
          <w:rFonts w:ascii="Times New Roman" w:eastAsia="Times New Roman" w:hAnsi="Times New Roman" w:cs="Times New Roman"/>
          <w:sz w:val="24"/>
          <w:szCs w:val="24"/>
          <w:lang w:eastAsia="cs-CZ"/>
        </w:rPr>
        <w:t>Žadatel musí do šesti měsíců od nabytí právní moci rozhodnutí o rozvodu oznámit matričnímu úřadu, že přijímá své dřívější příjmení, popřípadě že upouští od užívání společného příjmení vedle příjmení dřívějšího.</w:t>
      </w:r>
    </w:p>
    <w:p w14:paraId="1CCE8F24" w14:textId="77777777" w:rsidR="00F0510B" w:rsidRPr="00F0510B" w:rsidRDefault="00F0510B" w:rsidP="00F0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510B">
        <w:rPr>
          <w:rFonts w:ascii="Times New Roman" w:eastAsia="Times New Roman" w:hAnsi="Times New Roman" w:cs="Times New Roman"/>
          <w:sz w:val="24"/>
          <w:szCs w:val="24"/>
          <w:lang w:eastAsia="cs-CZ"/>
        </w:rPr>
        <w:t>Manžel, který přijal dřívější příjmení, je oprávněn i povinen užívat toto příjmení, a to od doby, kdy bylo vydáno matričním úřadem, který oznámení přijal, potvrzení o této skutečnosti.</w:t>
      </w:r>
    </w:p>
    <w:p w14:paraId="3B5609D5" w14:textId="77777777" w:rsidR="00F0510B" w:rsidRPr="00EE47DF" w:rsidRDefault="00F0510B" w:rsidP="00F0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EE47D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Kteří jsou další účastníci (dotčení) </w:t>
      </w:r>
      <w:r w:rsidR="00EE47DF" w:rsidRPr="00EE47D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 </w:t>
      </w:r>
    </w:p>
    <w:p w14:paraId="6EC3FB3B" w14:textId="77777777" w:rsidR="00F0510B" w:rsidRPr="00F0510B" w:rsidRDefault="00F0510B" w:rsidP="00F0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510B">
        <w:rPr>
          <w:rFonts w:ascii="Times New Roman" w:eastAsia="Times New Roman" w:hAnsi="Times New Roman" w:cs="Times New Roman"/>
          <w:sz w:val="24"/>
          <w:szCs w:val="24"/>
          <w:lang w:eastAsia="cs-CZ"/>
        </w:rPr>
        <w:t>Další účastníci postupu nejsou stanoveni.</w:t>
      </w:r>
    </w:p>
    <w:p w14:paraId="6F89F1E1" w14:textId="77777777" w:rsidR="00F0510B" w:rsidRPr="00EE47DF" w:rsidRDefault="00EE47DF" w:rsidP="00F0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EE47D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>J</w:t>
      </w:r>
      <w:r w:rsidR="00F0510B" w:rsidRPr="00EE47D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aké další činnosti jsou po </w:t>
      </w:r>
      <w:r w:rsidRPr="00EE47D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>žadateli požadovány</w:t>
      </w:r>
    </w:p>
    <w:p w14:paraId="1A1130DD" w14:textId="77777777" w:rsidR="00F0510B" w:rsidRPr="00F0510B" w:rsidRDefault="00F0510B" w:rsidP="00EE4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510B">
        <w:rPr>
          <w:rFonts w:ascii="Times New Roman" w:eastAsia="Times New Roman" w:hAnsi="Times New Roman" w:cs="Times New Roman"/>
          <w:sz w:val="24"/>
          <w:szCs w:val="24"/>
          <w:lang w:eastAsia="cs-CZ"/>
        </w:rPr>
        <w:t>Po přijetí dřívějšího příjmení požádejte o vydání nového občanského průkazu. Podle zákona o</w:t>
      </w:r>
      <w:r w:rsidR="00BF775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F0510B">
        <w:rPr>
          <w:rFonts w:ascii="Times New Roman" w:eastAsia="Times New Roman" w:hAnsi="Times New Roman" w:cs="Times New Roman"/>
          <w:sz w:val="24"/>
          <w:szCs w:val="24"/>
          <w:lang w:eastAsia="cs-CZ"/>
        </w:rPr>
        <w:t>občanských průkazech je občan povinen požádat o vydání nového občanského průkazu do 15 pracovních dnů po nabytí právní moci rozhodnutí, kterým bylo změněno jméno, popřípadě jména nebo příjmení.</w:t>
      </w:r>
    </w:p>
    <w:p w14:paraId="208C45F6" w14:textId="77777777" w:rsidR="00F0510B" w:rsidRPr="00F0510B" w:rsidRDefault="00F0510B" w:rsidP="00EE4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510B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zmeškáte šestiměsíční lhůtu po nabytí právní moci rozsudku o rozvodu, můžete podat žádost o změnu příjmení.</w:t>
      </w:r>
    </w:p>
    <w:p w14:paraId="4064A045" w14:textId="77777777" w:rsidR="00F0510B" w:rsidRPr="00FD2B12" w:rsidRDefault="00F0510B" w:rsidP="00F0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FD2B1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>Podle kterého</w:t>
      </w:r>
      <w:r w:rsidR="00FD2B1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 právního předpisu se postupuje</w:t>
      </w:r>
    </w:p>
    <w:p w14:paraId="6F654FDB" w14:textId="77777777" w:rsidR="00F0510B" w:rsidRPr="00FD2B12" w:rsidRDefault="00FD2B12" w:rsidP="00FD2B12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2B12">
        <w:rPr>
          <w:rFonts w:ascii="Times New Roman" w:hAnsi="Times New Roman" w:cs="Times New Roman"/>
          <w:sz w:val="24"/>
          <w:szCs w:val="24"/>
        </w:rPr>
        <w:t>-</w:t>
      </w:r>
      <w:hyperlink r:id="rId7" w:anchor="local-content" w:tgtFrame="_blank" w:history="1">
        <w:r w:rsidR="00F0510B" w:rsidRPr="00FD2B12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 xml:space="preserve">zákon č. 89/2012 Sb., občanský zákoník </w:t>
        </w:r>
      </w:hyperlink>
      <w:r w:rsidR="00F0510B" w:rsidRPr="00FD2B12">
        <w:rPr>
          <w:rFonts w:ascii="Times New Roman" w:eastAsia="Times New Roman" w:hAnsi="Times New Roman" w:cs="Times New Roman"/>
          <w:sz w:val="24"/>
          <w:szCs w:val="24"/>
          <w:lang w:eastAsia="cs-CZ"/>
        </w:rPr>
        <w:t>   ( § 759)</w:t>
      </w:r>
    </w:p>
    <w:p w14:paraId="1CB567C4" w14:textId="77777777" w:rsidR="00F0510B" w:rsidRPr="00FD2B12" w:rsidRDefault="00FD2B12" w:rsidP="00FD2B12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2B12">
        <w:rPr>
          <w:rFonts w:ascii="Times New Roman" w:hAnsi="Times New Roman" w:cs="Times New Roman"/>
          <w:sz w:val="24"/>
          <w:szCs w:val="24"/>
        </w:rPr>
        <w:t>-</w:t>
      </w:r>
      <w:hyperlink r:id="rId8" w:tgtFrame="_blank" w:history="1">
        <w:r w:rsidR="00F0510B" w:rsidRPr="00FD2B12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zákon č. 301/2000 Sb., o matrikách, jménu a příjmení</w:t>
        </w:r>
      </w:hyperlink>
    </w:p>
    <w:p w14:paraId="765A908F" w14:textId="77777777" w:rsidR="00F0510B" w:rsidRPr="00FD2B12" w:rsidRDefault="00FD2B12" w:rsidP="00FD2B12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2B12">
        <w:rPr>
          <w:rFonts w:ascii="Times New Roman" w:hAnsi="Times New Roman" w:cs="Times New Roman"/>
          <w:sz w:val="24"/>
          <w:szCs w:val="24"/>
        </w:rPr>
        <w:t>-</w:t>
      </w:r>
      <w:hyperlink r:id="rId9" w:tgtFrame="_blank" w:history="1">
        <w:r w:rsidR="00F0510B" w:rsidRPr="00FD2B12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vyhl. č. 207/2001 Sb., kterou se provádí zákon o matrikách, jménu a příjmení</w:t>
        </w:r>
      </w:hyperlink>
    </w:p>
    <w:p w14:paraId="0B68AD4C" w14:textId="77777777" w:rsidR="00F0510B" w:rsidRPr="00FD2B12" w:rsidRDefault="00F0510B" w:rsidP="00F0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FD2B1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lastRenderedPageBreak/>
        <w:t>Jaké jsou související předpisy</w:t>
      </w:r>
    </w:p>
    <w:p w14:paraId="49CCED16" w14:textId="77777777" w:rsidR="00F0510B" w:rsidRPr="00FD2B12" w:rsidRDefault="00FD2B12" w:rsidP="00FD2B12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2B12">
        <w:rPr>
          <w:rFonts w:ascii="Times New Roman" w:hAnsi="Times New Roman" w:cs="Times New Roman"/>
          <w:sz w:val="24"/>
          <w:szCs w:val="24"/>
        </w:rPr>
        <w:t>-</w:t>
      </w:r>
      <w:hyperlink r:id="rId10" w:tgtFrame="_blank" w:history="1">
        <w:r w:rsidR="00F0510B" w:rsidRPr="00FD2B12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zákon č. 500/2004 Sb., správní řád</w:t>
        </w:r>
      </w:hyperlink>
    </w:p>
    <w:p w14:paraId="55B052D6" w14:textId="77777777" w:rsidR="00F0510B" w:rsidRPr="00FD2B12" w:rsidRDefault="00FD2B12" w:rsidP="00FD2B12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2B12">
        <w:rPr>
          <w:rFonts w:ascii="Times New Roman" w:hAnsi="Times New Roman" w:cs="Times New Roman"/>
          <w:sz w:val="24"/>
          <w:szCs w:val="24"/>
        </w:rPr>
        <w:t>-</w:t>
      </w:r>
      <w:hyperlink r:id="rId11" w:tgtFrame="_blank" w:history="1">
        <w:r w:rsidR="00F0510B" w:rsidRPr="00FD2B12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zákon č. 634/2004 Sb., o správních poplatcích</w:t>
        </w:r>
      </w:hyperlink>
    </w:p>
    <w:p w14:paraId="6866C085" w14:textId="77777777" w:rsidR="00F0510B" w:rsidRPr="00FD2B12" w:rsidRDefault="00F0510B" w:rsidP="00F0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FD2B1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>Jaké jsou opravné prostředky a jak se uplatňují</w:t>
      </w:r>
      <w:r w:rsidR="00FD2B12" w:rsidRPr="00FD2B1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 </w:t>
      </w:r>
    </w:p>
    <w:p w14:paraId="48F493EB" w14:textId="77777777" w:rsidR="00F0510B" w:rsidRPr="00F0510B" w:rsidRDefault="00F0510B" w:rsidP="00F0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510B">
        <w:rPr>
          <w:rFonts w:ascii="Times New Roman" w:eastAsia="Times New Roman" w:hAnsi="Times New Roman" w:cs="Times New Roman"/>
          <w:sz w:val="24"/>
          <w:szCs w:val="24"/>
          <w:lang w:eastAsia="cs-CZ"/>
        </w:rPr>
        <w:t>Proti rozhodnutí o zamítnutí oznámení o přijetí zpět svého dřívějšího příjmení nebo upuštění od společného příjmení je možné podat odvolání do 15 dnů ode dne jeho doručení, odvolání se podává odvolacímu orgánu</w:t>
      </w:r>
      <w:r w:rsidR="00BF77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tj. krajskému úřadu </w:t>
      </w:r>
      <w:r w:rsidRPr="00F0510B">
        <w:rPr>
          <w:rFonts w:ascii="Times New Roman" w:eastAsia="Times New Roman" w:hAnsi="Times New Roman" w:cs="Times New Roman"/>
          <w:sz w:val="24"/>
          <w:szCs w:val="24"/>
          <w:lang w:eastAsia="cs-CZ"/>
        </w:rPr>
        <w:t>prostřednictvím toho matričního úřadu, který rozhodnutí vydal.</w:t>
      </w:r>
    </w:p>
    <w:p w14:paraId="69DB83E6" w14:textId="77777777" w:rsidR="00F0510B" w:rsidRPr="00FD2B12" w:rsidRDefault="00F0510B" w:rsidP="00F0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FD2B1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>Jaké sankce mohou být uplatněny v případě ned</w:t>
      </w:r>
      <w:r w:rsidR="00FD2B12" w:rsidRPr="00FD2B1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>održení předepsaných povinností</w:t>
      </w:r>
    </w:p>
    <w:p w14:paraId="255FED1E" w14:textId="77777777" w:rsidR="00F0510B" w:rsidRPr="00F0510B" w:rsidRDefault="00F0510B" w:rsidP="00F0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510B">
        <w:rPr>
          <w:rFonts w:ascii="Times New Roman" w:eastAsia="Times New Roman" w:hAnsi="Times New Roman" w:cs="Times New Roman"/>
          <w:sz w:val="24"/>
          <w:szCs w:val="24"/>
          <w:lang w:eastAsia="cs-CZ"/>
        </w:rPr>
        <w:t>Fyzická osoba se dopustí přestupku tím, že nepožádá o vydání nového občanského průkazu v</w:t>
      </w:r>
      <w:r w:rsidR="00BF775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F0510B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případech uvedených v § 14 odst. 1 písm. d) zákona o občanských průkazech (do 15 dnů po nabytí právní moci rozhodnutí, kterým bylo změněno jméno, popřípadě jména, příjmení)</w:t>
      </w:r>
    </w:p>
    <w:p w14:paraId="6C185437" w14:textId="77777777" w:rsidR="00F0510B" w:rsidRPr="00F0510B" w:rsidRDefault="00F0510B" w:rsidP="00F0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510B">
        <w:rPr>
          <w:rFonts w:ascii="Times New Roman" w:eastAsia="Times New Roman" w:hAnsi="Times New Roman" w:cs="Times New Roman"/>
          <w:sz w:val="24"/>
          <w:szCs w:val="24"/>
          <w:lang w:eastAsia="cs-CZ"/>
        </w:rPr>
        <w:t>Za přestupek lze uložit pokutu do 10 000 Kč.</w:t>
      </w:r>
    </w:p>
    <w:p w14:paraId="7C63A448" w14:textId="77777777" w:rsidR="00F0510B" w:rsidRPr="00FD2B12" w:rsidRDefault="00F0510B" w:rsidP="00F0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2B1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>Příslušné informace můžete získat také z jiných zdrojů nebo v jiné formě, a to</w:t>
      </w:r>
      <w:r w:rsidR="00FD2B1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 </w:t>
      </w:r>
    </w:p>
    <w:p w14:paraId="15A26A5A" w14:textId="77777777" w:rsidR="007762A6" w:rsidRDefault="007762A6" w:rsidP="007762A6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Internetové stránky Ministerstva vnitra ČR:  </w:t>
      </w:r>
    </w:p>
    <w:p w14:paraId="12D6AC7B" w14:textId="77777777" w:rsidR="007762A6" w:rsidRDefault="007762A6" w:rsidP="007762A6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hyperlink r:id="rId12" w:tgtFrame="_blank" w:tooltip="www.mvcr.cz " w:history="1">
        <w:r>
          <w:rPr>
            <w:rStyle w:val="Hypertextovodkaz"/>
            <w:rFonts w:ascii="Times New Roman" w:hAnsi="Times New Roman" w:cs="Times New Roman"/>
            <w:sz w:val="24"/>
            <w:szCs w:val="24"/>
            <w:bdr w:val="none" w:sz="0" w:space="0" w:color="auto" w:frame="1"/>
            <w:lang w:eastAsia="cs-CZ"/>
          </w:rPr>
          <w:t>www.mvcr.cz 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14:paraId="50A39D7C" w14:textId="77777777" w:rsidR="00F0510B" w:rsidRPr="00F0510B" w:rsidRDefault="007762A6" w:rsidP="00F0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FDD7DBB" w14:textId="77777777" w:rsidR="00F0510B" w:rsidRPr="00F0510B" w:rsidRDefault="00FD2B12" w:rsidP="00F0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14:paraId="5F2D470C" w14:textId="77777777" w:rsidR="00F0510B" w:rsidRPr="00F0510B" w:rsidRDefault="00FD2B12" w:rsidP="00F0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14:paraId="670B8893" w14:textId="77777777" w:rsidR="00F0510B" w:rsidRPr="00F0510B" w:rsidRDefault="00FD2B12" w:rsidP="00F0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14:paraId="40835ADA" w14:textId="77777777" w:rsidR="00305D95" w:rsidRDefault="00305D95"/>
    <w:sectPr w:rsidR="00305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C0741"/>
    <w:multiLevelType w:val="multilevel"/>
    <w:tmpl w:val="D0CEE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759EC"/>
    <w:multiLevelType w:val="multilevel"/>
    <w:tmpl w:val="1908B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E06C5"/>
    <w:multiLevelType w:val="multilevel"/>
    <w:tmpl w:val="AC3C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626A07"/>
    <w:multiLevelType w:val="multilevel"/>
    <w:tmpl w:val="99BA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783EE3"/>
    <w:multiLevelType w:val="multilevel"/>
    <w:tmpl w:val="9868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2E06B5"/>
    <w:multiLevelType w:val="multilevel"/>
    <w:tmpl w:val="EA2E7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F44D1"/>
    <w:multiLevelType w:val="multilevel"/>
    <w:tmpl w:val="AB30D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18057D"/>
    <w:multiLevelType w:val="multilevel"/>
    <w:tmpl w:val="6C9E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667A0E"/>
    <w:multiLevelType w:val="multilevel"/>
    <w:tmpl w:val="76FC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3C4B77"/>
    <w:multiLevelType w:val="multilevel"/>
    <w:tmpl w:val="BB70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12174F"/>
    <w:multiLevelType w:val="multilevel"/>
    <w:tmpl w:val="CE1A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346E6B"/>
    <w:multiLevelType w:val="multilevel"/>
    <w:tmpl w:val="8460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600A7C"/>
    <w:multiLevelType w:val="multilevel"/>
    <w:tmpl w:val="B5FC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9549163">
    <w:abstractNumId w:val="5"/>
  </w:num>
  <w:num w:numId="2" w16cid:durableId="1646743715">
    <w:abstractNumId w:val="10"/>
  </w:num>
  <w:num w:numId="3" w16cid:durableId="499084209">
    <w:abstractNumId w:val="9"/>
  </w:num>
  <w:num w:numId="4" w16cid:durableId="1004554465">
    <w:abstractNumId w:val="0"/>
  </w:num>
  <w:num w:numId="5" w16cid:durableId="978460458">
    <w:abstractNumId w:val="3"/>
  </w:num>
  <w:num w:numId="6" w16cid:durableId="1930850709">
    <w:abstractNumId w:val="6"/>
  </w:num>
  <w:num w:numId="7" w16cid:durableId="1392730278">
    <w:abstractNumId w:val="12"/>
  </w:num>
  <w:num w:numId="8" w16cid:durableId="868225465">
    <w:abstractNumId w:val="1"/>
  </w:num>
  <w:num w:numId="9" w16cid:durableId="1848711388">
    <w:abstractNumId w:val="8"/>
  </w:num>
  <w:num w:numId="10" w16cid:durableId="61756259">
    <w:abstractNumId w:val="7"/>
  </w:num>
  <w:num w:numId="11" w16cid:durableId="135415764">
    <w:abstractNumId w:val="2"/>
  </w:num>
  <w:num w:numId="12" w16cid:durableId="3674240">
    <w:abstractNumId w:val="11"/>
  </w:num>
  <w:num w:numId="13" w16cid:durableId="19403287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10B"/>
    <w:rsid w:val="00305D95"/>
    <w:rsid w:val="003D0581"/>
    <w:rsid w:val="00463D42"/>
    <w:rsid w:val="006575C9"/>
    <w:rsid w:val="007762A6"/>
    <w:rsid w:val="00BF775F"/>
    <w:rsid w:val="00E94C9A"/>
    <w:rsid w:val="00EE47DF"/>
    <w:rsid w:val="00F0510B"/>
    <w:rsid w:val="00FA6C15"/>
    <w:rsid w:val="00FD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0C01B"/>
  <w15:docId w15:val="{F8798EDF-D492-45C3-9F66-0139898B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0510B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F0510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F05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EE47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3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0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6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gov.cz/app/zakony/zakonPar.jsp?idBiblio=49658&amp;l_nr=2618374001~3A301~2F2000~20Sb.&amp;l_name=1898088670~3Ao~20matrik~C3~A1ch~2C~20jm~C3~A9nu~20a~20p~C5~99~C3~ADjmen~C3~AD&amp;fulltext=&amp;nr=301~2F2000&amp;part=&amp;name=&amp;rpp=1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rtal.gov.cz/app/zakony/zakonPar.jsp?idBiblio=74907&amp;fulltext=89~2F2012&amp;nr=&amp;part=&amp;name=&amp;rpp=15" TargetMode="External"/><Relationship Id="rId12" Type="http://schemas.openxmlformats.org/officeDocument/2006/relationships/hyperlink" Target="http://www.mvcr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ed.brno.cz/odbory/odbor-matrika" TargetMode="External"/><Relationship Id="rId11" Type="http://schemas.openxmlformats.org/officeDocument/2006/relationships/hyperlink" Target="http://portal.gov.cz/app/zakony/zakonPar.jsp?idBiblio=58613&amp;l_nr=2398702564~3A634~2F2004~20Sb.&amp;l_name=185411974~3Ao~20spr~C3~A1vn~C3~ADch~20poplatc~C3~ADch&amp;fulltext=&amp;nr=634~2F2004&amp;part=&amp;name=&amp;rpp=15" TargetMode="External"/><Relationship Id="rId5" Type="http://schemas.openxmlformats.org/officeDocument/2006/relationships/hyperlink" Target="http://www.mzv.cz/jnp/cz/encyklopedie_statu/index.html" TargetMode="External"/><Relationship Id="rId10" Type="http://schemas.openxmlformats.org/officeDocument/2006/relationships/hyperlink" Target="http://portal.gov.cz/app/zakony/zakonPar.jsp?idBiblio=58370&amp;l_nr=1768841071~3A500~2F2004~20Sb.&amp;l_name=3330657368~3Aspr~C3~A1vn~C3~AD~20~C5~99~C3~A1d&amp;fulltext=&amp;nr=500~2F2004&amp;part=&amp;name=&amp;rpp=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rtal.gov.cz/app/zakony/zakonPar.jsp?idBiblio=51403&amp;l_nr=935994089~3A207~2F2001~20Sb.&amp;l_name=2251253438~3A~2C~20kterou~20se~20prov~C3~A1d~C3~AD~20z~C3~A1kon~20o~20matrik~C3~A1ch~2C~20jm~C3~A9nu~20a~20p~C5~99~C3~ADjmen~C3~AD&amp;fulltext=&amp;nr=207~2F2001&amp;part=&amp;name=&amp;rpp=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893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MATRIKA</cp:lastModifiedBy>
  <cp:revision>11</cp:revision>
  <dcterms:created xsi:type="dcterms:W3CDTF">2014-09-17T07:42:00Z</dcterms:created>
  <dcterms:modified xsi:type="dcterms:W3CDTF">2025-07-11T06:04:00Z</dcterms:modified>
</cp:coreProperties>
</file>