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28" w:rsidRDefault="00322728"/>
    <w:tbl>
      <w:tblPr>
        <w:tblW w:w="0" w:type="auto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10202"/>
      </w:tblGrid>
      <w:tr w:rsidR="00CB4699" w:rsidRPr="00495536" w:rsidTr="003B661C">
        <w:trPr>
          <w:trHeight w:val="510"/>
        </w:trPr>
        <w:tc>
          <w:tcPr>
            <w:tcW w:w="10202" w:type="dxa"/>
            <w:shd w:val="clear" w:color="auto" w:fill="FFFFFF"/>
            <w:vAlign w:val="center"/>
          </w:tcPr>
          <w:p w:rsidR="00CB4699" w:rsidRPr="00495536" w:rsidRDefault="00CB4699" w:rsidP="00CB4699">
            <w:pPr>
              <w:spacing w:after="0"/>
              <w:jc w:val="center"/>
              <w:rPr>
                <w:rFonts w:cs="Calibri"/>
                <w:b/>
                <w:sz w:val="40"/>
              </w:rPr>
            </w:pPr>
            <w:r w:rsidRPr="00495536">
              <w:rPr>
                <w:rFonts w:cs="Calibri"/>
                <w:b/>
                <w:sz w:val="40"/>
              </w:rPr>
              <w:t>Sdružení obcí Čistá Jihlava</w:t>
            </w:r>
          </w:p>
        </w:tc>
      </w:tr>
    </w:tbl>
    <w:p w:rsidR="00F3262B" w:rsidRDefault="00F3262B" w:rsidP="00F3262B">
      <w:pPr>
        <w:spacing w:after="0"/>
        <w:jc w:val="center"/>
        <w:rPr>
          <w:rFonts w:cs="Calibri"/>
          <w:b/>
          <w:sz w:val="32"/>
          <w:szCs w:val="32"/>
        </w:rPr>
      </w:pPr>
    </w:p>
    <w:p w:rsidR="00CB4699" w:rsidRPr="00F3262B" w:rsidRDefault="009946A7" w:rsidP="00F3262B">
      <w:pPr>
        <w:spacing w:after="0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SCHVÁLENÝ</w:t>
      </w:r>
    </w:p>
    <w:p w:rsidR="00CB4699" w:rsidRDefault="008D38B9" w:rsidP="008D38B9">
      <w:pPr>
        <w:spacing w:after="0"/>
        <w:jc w:val="center"/>
        <w:rPr>
          <w:b/>
          <w:noProof/>
          <w:sz w:val="48"/>
          <w:szCs w:val="48"/>
          <w:lang w:eastAsia="cs-CZ"/>
        </w:rPr>
      </w:pPr>
      <w:r w:rsidRPr="008D38B9">
        <w:rPr>
          <w:b/>
          <w:noProof/>
          <w:sz w:val="48"/>
          <w:szCs w:val="48"/>
          <w:lang w:eastAsia="cs-CZ"/>
        </w:rPr>
        <w:t xml:space="preserve"> Závěrečný účet za rok 20</w:t>
      </w:r>
      <w:r w:rsidR="00850F85">
        <w:rPr>
          <w:b/>
          <w:noProof/>
          <w:sz w:val="48"/>
          <w:szCs w:val="48"/>
          <w:lang w:eastAsia="cs-CZ"/>
        </w:rPr>
        <w:t>2</w:t>
      </w:r>
      <w:r w:rsidR="004A087B">
        <w:rPr>
          <w:b/>
          <w:noProof/>
          <w:sz w:val="48"/>
          <w:szCs w:val="48"/>
          <w:lang w:eastAsia="cs-CZ"/>
        </w:rPr>
        <w:t>1</w:t>
      </w:r>
    </w:p>
    <w:p w:rsidR="008D38B9" w:rsidRPr="00F3262B" w:rsidRDefault="00F3262B" w:rsidP="008D38B9">
      <w:pPr>
        <w:spacing w:after="0"/>
        <w:jc w:val="center"/>
        <w:rPr>
          <w:rFonts w:cs="Calibri"/>
          <w:sz w:val="32"/>
          <w:szCs w:val="32"/>
        </w:rPr>
      </w:pPr>
      <w:r w:rsidRPr="00F3262B">
        <w:rPr>
          <w:noProof/>
          <w:sz w:val="32"/>
          <w:szCs w:val="32"/>
          <w:lang w:eastAsia="cs-CZ"/>
        </w:rPr>
        <w:t>s</w:t>
      </w:r>
      <w:r w:rsidR="008D38B9" w:rsidRPr="00F3262B">
        <w:rPr>
          <w:noProof/>
          <w:sz w:val="32"/>
          <w:szCs w:val="32"/>
          <w:lang w:eastAsia="cs-CZ"/>
        </w:rPr>
        <w:t>estavený ke dni 31.12.20</w:t>
      </w:r>
      <w:r w:rsidR="00850F85" w:rsidRPr="00F3262B">
        <w:rPr>
          <w:noProof/>
          <w:sz w:val="32"/>
          <w:szCs w:val="32"/>
          <w:lang w:eastAsia="cs-CZ"/>
        </w:rPr>
        <w:t>2</w:t>
      </w:r>
      <w:r w:rsidR="004A087B">
        <w:rPr>
          <w:noProof/>
          <w:sz w:val="32"/>
          <w:szCs w:val="32"/>
          <w:lang w:eastAsia="cs-CZ"/>
        </w:rPr>
        <w:t>1</w:t>
      </w:r>
    </w:p>
    <w:p w:rsidR="00325419" w:rsidRDefault="00325419" w:rsidP="00325419">
      <w:pPr>
        <w:pStyle w:val="Zpat"/>
        <w:rPr>
          <w:rFonts w:cs="Calibri"/>
        </w:rPr>
      </w:pPr>
      <w:r>
        <w:rPr>
          <w:rFonts w:cs="Calibri"/>
        </w:rPr>
        <w:tab/>
        <w:t xml:space="preserve">  </w:t>
      </w:r>
    </w:p>
    <w:p w:rsidR="00322728" w:rsidRDefault="00322728" w:rsidP="00325419">
      <w:pPr>
        <w:pStyle w:val="Zpat"/>
        <w:rPr>
          <w:rFonts w:cs="Calibri"/>
          <w:b/>
          <w:sz w:val="28"/>
          <w:szCs w:val="28"/>
        </w:rPr>
      </w:pPr>
    </w:p>
    <w:p w:rsidR="00325419" w:rsidRPr="00322728" w:rsidRDefault="00325419" w:rsidP="00325419">
      <w:pPr>
        <w:pStyle w:val="Zpat"/>
        <w:rPr>
          <w:rFonts w:cs="Calibri"/>
          <w:b/>
          <w:sz w:val="28"/>
          <w:szCs w:val="28"/>
        </w:rPr>
      </w:pPr>
      <w:r w:rsidRPr="00322728">
        <w:rPr>
          <w:rFonts w:cs="Calibri"/>
          <w:b/>
          <w:sz w:val="28"/>
          <w:szCs w:val="28"/>
        </w:rPr>
        <w:t>Údaje o organizaci</w:t>
      </w:r>
    </w:p>
    <w:p w:rsidR="00325419" w:rsidRDefault="00325419" w:rsidP="00325419">
      <w:pPr>
        <w:pStyle w:val="Zpat"/>
        <w:tabs>
          <w:tab w:val="clear" w:pos="4536"/>
          <w:tab w:val="clear" w:pos="9072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</w:t>
      </w:r>
      <w:r>
        <w:rPr>
          <w:rFonts w:cs="Calibri"/>
          <w:b/>
          <w:sz w:val="24"/>
          <w:szCs w:val="24"/>
        </w:rPr>
        <w:tab/>
      </w:r>
      <w:r w:rsidRPr="00325419">
        <w:rPr>
          <w:rFonts w:cs="Calibri"/>
          <w:sz w:val="24"/>
          <w:szCs w:val="24"/>
        </w:rPr>
        <w:t>Název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>Sdružení obcí Čistá Jihlava</w:t>
      </w:r>
    </w:p>
    <w:p w:rsidR="00325419" w:rsidRDefault="00325419" w:rsidP="00325419">
      <w:pPr>
        <w:pStyle w:val="Zpat"/>
        <w:tabs>
          <w:tab w:val="clear" w:pos="4536"/>
          <w:tab w:val="clear" w:pos="9072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Pr="00325419">
        <w:rPr>
          <w:rFonts w:cs="Calibri"/>
          <w:sz w:val="24"/>
          <w:szCs w:val="24"/>
        </w:rPr>
        <w:t>Adresa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="008B59A3">
        <w:rPr>
          <w:rFonts w:cs="Calibri"/>
          <w:b/>
          <w:sz w:val="24"/>
          <w:szCs w:val="24"/>
        </w:rPr>
        <w:t>Brněnská 2</w:t>
      </w:r>
      <w:r>
        <w:rPr>
          <w:rFonts w:cs="Calibri"/>
          <w:b/>
          <w:sz w:val="24"/>
          <w:szCs w:val="24"/>
        </w:rPr>
        <w:t>, 691 23 Pohořelice</w:t>
      </w:r>
      <w:r>
        <w:rPr>
          <w:rFonts w:cs="Calibri"/>
          <w:b/>
          <w:sz w:val="24"/>
          <w:szCs w:val="24"/>
        </w:rPr>
        <w:tab/>
      </w:r>
    </w:p>
    <w:p w:rsidR="00325419" w:rsidRDefault="00325419" w:rsidP="00325419">
      <w:pPr>
        <w:pStyle w:val="Zpat"/>
        <w:tabs>
          <w:tab w:val="clear" w:pos="4536"/>
          <w:tab w:val="clear" w:pos="9072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Pr="00144F61">
        <w:rPr>
          <w:rFonts w:cs="Calibri"/>
          <w:sz w:val="24"/>
          <w:szCs w:val="24"/>
        </w:rPr>
        <w:t>IČ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>702 61 326</w:t>
      </w:r>
    </w:p>
    <w:p w:rsidR="00325419" w:rsidRDefault="00325419" w:rsidP="00325419">
      <w:pPr>
        <w:pStyle w:val="Zpat"/>
        <w:tabs>
          <w:tab w:val="clear" w:pos="4536"/>
          <w:tab w:val="clear" w:pos="9072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Pr="00144F61">
        <w:rPr>
          <w:rFonts w:cs="Calibri"/>
          <w:sz w:val="24"/>
          <w:szCs w:val="24"/>
        </w:rPr>
        <w:t>Právní forma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="00322728">
        <w:rPr>
          <w:rFonts w:cs="Calibri"/>
          <w:b/>
          <w:sz w:val="24"/>
          <w:szCs w:val="24"/>
        </w:rPr>
        <w:t xml:space="preserve">dobrovolný </w:t>
      </w:r>
      <w:r>
        <w:rPr>
          <w:rFonts w:cs="Calibri"/>
          <w:b/>
          <w:sz w:val="24"/>
          <w:szCs w:val="24"/>
        </w:rPr>
        <w:t>svazek obcí</w:t>
      </w:r>
    </w:p>
    <w:p w:rsidR="00CB4699" w:rsidRPr="003B6792" w:rsidRDefault="00144F61" w:rsidP="00144F61">
      <w:pPr>
        <w:pStyle w:val="Zpat"/>
        <w:tabs>
          <w:tab w:val="clear" w:pos="4536"/>
          <w:tab w:val="clear" w:pos="9072"/>
        </w:tabs>
        <w:rPr>
          <w:rFonts w:cs="Calibri"/>
          <w:b/>
          <w:sz w:val="24"/>
          <w:szCs w:val="24"/>
        </w:rPr>
      </w:pPr>
      <w:r>
        <w:rPr>
          <w:rFonts w:cs="Calibri"/>
        </w:rPr>
        <w:tab/>
      </w:r>
      <w:r w:rsidR="00325419" w:rsidRPr="003B6792">
        <w:rPr>
          <w:rFonts w:cs="Calibri"/>
          <w:bCs/>
          <w:sz w:val="24"/>
          <w:szCs w:val="24"/>
        </w:rPr>
        <w:t>Bankovní spojení</w:t>
      </w:r>
      <w:r w:rsidR="00325419" w:rsidRPr="003B6792">
        <w:rPr>
          <w:rFonts w:cs="Calibri"/>
          <w:b/>
          <w:bCs/>
          <w:sz w:val="24"/>
          <w:szCs w:val="24"/>
        </w:rPr>
        <w:t xml:space="preserve"> </w:t>
      </w:r>
      <w:r w:rsidRPr="003B6792">
        <w:rPr>
          <w:rFonts w:cs="Calibri"/>
          <w:b/>
          <w:bCs/>
          <w:sz w:val="24"/>
          <w:szCs w:val="24"/>
        </w:rPr>
        <w:tab/>
      </w:r>
      <w:r w:rsidR="00325419" w:rsidRPr="003B6792">
        <w:rPr>
          <w:rFonts w:cs="Calibri"/>
          <w:b/>
          <w:sz w:val="24"/>
          <w:szCs w:val="24"/>
        </w:rPr>
        <w:t>Sberbank CZ, a. s., č.ú. 4200003917/6800</w:t>
      </w:r>
      <w:r w:rsidR="00325419" w:rsidRPr="003B6792">
        <w:rPr>
          <w:rFonts w:cs="Calibri"/>
          <w:b/>
          <w:sz w:val="24"/>
          <w:szCs w:val="24"/>
        </w:rPr>
        <w:tab/>
      </w:r>
    </w:p>
    <w:p w:rsidR="00325419" w:rsidRPr="00144F61" w:rsidRDefault="00325419" w:rsidP="00CB4699">
      <w:pPr>
        <w:spacing w:after="0"/>
        <w:rPr>
          <w:rFonts w:ascii="Arial" w:hAnsi="Arial" w:cs="Arial"/>
          <w:b/>
        </w:rPr>
      </w:pPr>
    </w:p>
    <w:p w:rsidR="00325419" w:rsidRPr="00322728" w:rsidRDefault="00325419" w:rsidP="00CB4699">
      <w:pPr>
        <w:spacing w:after="0"/>
        <w:rPr>
          <w:rFonts w:cs="Calibri"/>
          <w:b/>
          <w:sz w:val="28"/>
          <w:szCs w:val="28"/>
        </w:rPr>
      </w:pPr>
      <w:r w:rsidRPr="00322728">
        <w:rPr>
          <w:rFonts w:cs="Calibri"/>
          <w:b/>
          <w:sz w:val="28"/>
          <w:szCs w:val="28"/>
        </w:rPr>
        <w:t>Kontaktní údaje</w:t>
      </w:r>
    </w:p>
    <w:p w:rsidR="00325419" w:rsidRPr="00325419" w:rsidRDefault="00325419" w:rsidP="00CB4699">
      <w:pPr>
        <w:spacing w:after="0"/>
        <w:rPr>
          <w:rFonts w:cs="Calibri"/>
        </w:rPr>
      </w:pPr>
      <w:r>
        <w:rPr>
          <w:rFonts w:cs="Calibri"/>
          <w:b/>
          <w:sz w:val="24"/>
          <w:szCs w:val="24"/>
        </w:rPr>
        <w:tab/>
      </w:r>
      <w:r w:rsidRPr="00325419">
        <w:rPr>
          <w:rFonts w:cs="Calibri"/>
        </w:rPr>
        <w:t>Telefon</w:t>
      </w:r>
      <w:r w:rsidRPr="00325419">
        <w:rPr>
          <w:rFonts w:cs="Calibri"/>
        </w:rPr>
        <w:tab/>
      </w:r>
      <w:r>
        <w:rPr>
          <w:rFonts w:cs="Calibri"/>
        </w:rPr>
        <w:tab/>
      </w:r>
      <w:r w:rsidR="00144F61">
        <w:rPr>
          <w:rFonts w:cs="Calibri"/>
        </w:rPr>
        <w:tab/>
      </w:r>
      <w:r w:rsidRPr="00325419">
        <w:rPr>
          <w:rFonts w:cs="Calibri"/>
        </w:rPr>
        <w:t>účetní – 606 043 013, předseda DSO – 602 800 563</w:t>
      </w:r>
    </w:p>
    <w:p w:rsidR="00325419" w:rsidRDefault="00325419" w:rsidP="00CB4699">
      <w:pPr>
        <w:spacing w:after="0"/>
        <w:rPr>
          <w:rFonts w:cs="Calibri"/>
          <w:sz w:val="24"/>
          <w:szCs w:val="24"/>
        </w:rPr>
      </w:pPr>
      <w:r w:rsidRPr="00325419">
        <w:rPr>
          <w:rFonts w:cs="Calibri"/>
        </w:rPr>
        <w:tab/>
        <w:t>Email</w:t>
      </w:r>
      <w:r w:rsidRPr="00325419">
        <w:rPr>
          <w:rFonts w:cs="Calibri"/>
        </w:rPr>
        <w:tab/>
      </w:r>
      <w:r w:rsidRPr="00325419">
        <w:rPr>
          <w:rFonts w:cs="Calibri"/>
        </w:rPr>
        <w:tab/>
      </w:r>
      <w:r w:rsidR="00144F61">
        <w:rPr>
          <w:rFonts w:cs="Calibri"/>
        </w:rPr>
        <w:tab/>
      </w:r>
      <w:hyperlink r:id="rId8" w:history="1">
        <w:r w:rsidRPr="00325419">
          <w:rPr>
            <w:rStyle w:val="Hypertextovodkaz"/>
            <w:rFonts w:cs="Calibri"/>
          </w:rPr>
          <w:t>podatelna@cistajihlava.cz</w:t>
        </w:r>
      </w:hyperlink>
      <w:r w:rsidRPr="00325419">
        <w:rPr>
          <w:rFonts w:cs="Calibri"/>
        </w:rPr>
        <w:t xml:space="preserve">, </w:t>
      </w:r>
      <w:hyperlink r:id="rId9" w:history="1">
        <w:r w:rsidRPr="00325419">
          <w:rPr>
            <w:rStyle w:val="Hypertextovodkaz"/>
            <w:rFonts w:cs="Calibri"/>
          </w:rPr>
          <w:t>predseda@cistajihlava.cz</w:t>
        </w:r>
      </w:hyperlink>
    </w:p>
    <w:p w:rsidR="00325419" w:rsidRPr="00325419" w:rsidRDefault="00325419" w:rsidP="00CB4699">
      <w:pPr>
        <w:spacing w:after="0"/>
        <w:rPr>
          <w:rFonts w:cs="Calibri"/>
          <w:sz w:val="24"/>
          <w:szCs w:val="24"/>
        </w:rPr>
      </w:pPr>
    </w:p>
    <w:p w:rsidR="00325419" w:rsidRDefault="00325419" w:rsidP="00CB4699">
      <w:pPr>
        <w:spacing w:after="0"/>
        <w:rPr>
          <w:rFonts w:cs="Calibri"/>
          <w:b/>
          <w:sz w:val="24"/>
          <w:szCs w:val="24"/>
        </w:rPr>
      </w:pPr>
    </w:p>
    <w:p w:rsidR="00CB4699" w:rsidRPr="00322728" w:rsidRDefault="00023384" w:rsidP="00CB4699">
      <w:pPr>
        <w:spacing w:after="0"/>
        <w:rPr>
          <w:rFonts w:cs="Calibri"/>
          <w:b/>
          <w:sz w:val="28"/>
          <w:szCs w:val="28"/>
        </w:rPr>
      </w:pPr>
      <w:r w:rsidRPr="00322728">
        <w:rPr>
          <w:rFonts w:cs="Calibri"/>
          <w:b/>
          <w:sz w:val="28"/>
          <w:szCs w:val="28"/>
        </w:rPr>
        <w:t>Obsah návrhu závěrečného účtu</w:t>
      </w:r>
    </w:p>
    <w:p w:rsidR="001C3577" w:rsidRDefault="00023384" w:rsidP="00CB4699">
      <w:pPr>
        <w:spacing w:after="0"/>
        <w:rPr>
          <w:rFonts w:cs="Calibri"/>
        </w:rPr>
      </w:pPr>
      <w:r>
        <w:rPr>
          <w:rFonts w:cs="Calibri"/>
        </w:rPr>
        <w:tab/>
      </w:r>
      <w:r w:rsidR="001C3577">
        <w:rPr>
          <w:rFonts w:cs="Calibri"/>
        </w:rPr>
        <w:t xml:space="preserve">  </w:t>
      </w:r>
      <w:r w:rsidR="001C3577">
        <w:rPr>
          <w:rFonts w:cs="Calibri"/>
        </w:rPr>
        <w:tab/>
      </w:r>
      <w:r>
        <w:rPr>
          <w:rFonts w:cs="Calibri"/>
        </w:rPr>
        <w:t xml:space="preserve">1 </w:t>
      </w:r>
      <w:r w:rsidR="001C3577">
        <w:rPr>
          <w:rFonts w:cs="Calibri"/>
        </w:rPr>
        <w:t>– Rozpočtové hospodaření – příjmy, výdaje, financování</w:t>
      </w:r>
    </w:p>
    <w:p w:rsidR="001C3577" w:rsidRDefault="001C3577" w:rsidP="00CB4699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2 – Porovnání příjmů a výdajů</w:t>
      </w:r>
    </w:p>
    <w:p w:rsidR="001C3577" w:rsidRDefault="001C3577" w:rsidP="00CB4699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3 -  Transfery obcí</w:t>
      </w:r>
    </w:p>
    <w:p w:rsidR="001C3577" w:rsidRDefault="001C3577" w:rsidP="00CB4699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4 – Zpráva o výsledku přezkoumání hospodaření za rok 20</w:t>
      </w:r>
      <w:r w:rsidR="000F32C6">
        <w:rPr>
          <w:rFonts w:cs="Calibri"/>
        </w:rPr>
        <w:t>20</w:t>
      </w:r>
    </w:p>
    <w:p w:rsidR="004E5105" w:rsidRDefault="004E5105" w:rsidP="00CB4699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5 – Vzdělávací aktivity</w:t>
      </w:r>
    </w:p>
    <w:p w:rsidR="00F40DEE" w:rsidRDefault="00F40DEE" w:rsidP="00CB4699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 xml:space="preserve">6 </w:t>
      </w:r>
      <w:r w:rsidR="008929FF">
        <w:rPr>
          <w:rFonts w:cs="Calibri"/>
        </w:rPr>
        <w:t>–</w:t>
      </w:r>
      <w:r>
        <w:rPr>
          <w:rFonts w:cs="Calibri"/>
        </w:rPr>
        <w:t xml:space="preserve"> </w:t>
      </w:r>
      <w:r w:rsidR="008929FF">
        <w:rPr>
          <w:rFonts w:cs="Calibri"/>
        </w:rPr>
        <w:t xml:space="preserve">Majetek a inventarizace </w:t>
      </w:r>
    </w:p>
    <w:p w:rsidR="00DA4704" w:rsidRDefault="00DA4704" w:rsidP="00CB4699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 xml:space="preserve">7 – Projekt Komunikace obcí s veřejností v DSO </w:t>
      </w:r>
    </w:p>
    <w:p w:rsidR="008929FF" w:rsidRDefault="00A83ECA" w:rsidP="00CB4699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</w:p>
    <w:p w:rsidR="00167453" w:rsidRDefault="00167453" w:rsidP="00CB469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67453">
        <w:rPr>
          <w:rFonts w:ascii="Arial" w:hAnsi="Arial" w:cs="Arial"/>
          <w:b/>
          <w:sz w:val="24"/>
          <w:szCs w:val="24"/>
          <w:u w:val="single"/>
        </w:rPr>
        <w:t>1 – Rozpočtové hospodaření</w:t>
      </w:r>
    </w:p>
    <w:p w:rsidR="00DE2A0A" w:rsidRDefault="00DE2A0A" w:rsidP="00CB469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5D47DC" w:rsidRDefault="001C3583" w:rsidP="00CB469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6677025" cy="22955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A0A" w:rsidRDefault="00DE2A0A" w:rsidP="005D47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E2A0A" w:rsidRDefault="00DE2A0A" w:rsidP="005D47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E2A0A" w:rsidRDefault="00DE2A0A" w:rsidP="005D47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E2A0A" w:rsidRDefault="001C3583" w:rsidP="00DE2A0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6667500" cy="605790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A0A" w:rsidRDefault="00DE2A0A" w:rsidP="00DE2A0A">
      <w:pPr>
        <w:spacing w:after="0"/>
        <w:rPr>
          <w:rFonts w:ascii="Arial" w:hAnsi="Arial" w:cs="Arial"/>
          <w:b/>
          <w:sz w:val="24"/>
          <w:szCs w:val="24"/>
        </w:rPr>
      </w:pPr>
    </w:p>
    <w:p w:rsidR="00286496" w:rsidRPr="005D47DC" w:rsidRDefault="005D47DC" w:rsidP="00CB469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4453FF" w:rsidRDefault="004453FF" w:rsidP="004453FF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167453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>
        <w:rPr>
          <w:rFonts w:ascii="Arial" w:hAnsi="Arial" w:cs="Arial"/>
          <w:b/>
          <w:sz w:val="24"/>
          <w:szCs w:val="24"/>
          <w:u w:val="single"/>
        </w:rPr>
        <w:t xml:space="preserve">Porovnání příjmů a výdajů </w:t>
      </w:r>
    </w:p>
    <w:p w:rsidR="002D6A85" w:rsidRDefault="002D6A85" w:rsidP="004453FF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4453FF" w:rsidRDefault="004453FF" w:rsidP="004453FF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10220" w:type="dxa"/>
        <w:tblInd w:w="-10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10"/>
        <w:gridCol w:w="4452"/>
        <w:gridCol w:w="10"/>
        <w:gridCol w:w="1906"/>
        <w:gridCol w:w="10"/>
        <w:gridCol w:w="1906"/>
        <w:gridCol w:w="10"/>
        <w:gridCol w:w="1906"/>
        <w:gridCol w:w="10"/>
      </w:tblGrid>
      <w:tr w:rsidR="00EB0A78" w:rsidRPr="005E431B" w:rsidTr="00EB0A78">
        <w:trPr>
          <w:gridBefore w:val="1"/>
          <w:wBefore w:w="10" w:type="dxa"/>
          <w:trHeight w:val="375"/>
        </w:trPr>
        <w:tc>
          <w:tcPr>
            <w:tcW w:w="446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0A78" w:rsidRPr="005E431B" w:rsidRDefault="00EB0A78" w:rsidP="0088516D">
            <w:pPr>
              <w:spacing w:after="0"/>
              <w:jc w:val="center"/>
              <w:rPr>
                <w:rFonts w:ascii="Arial" w:hAnsi="Arial" w:cs="Calibri"/>
                <w:b/>
                <w:sz w:val="20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0A78" w:rsidRPr="005E431B" w:rsidRDefault="00EB0A78" w:rsidP="002D6A85">
            <w:pPr>
              <w:spacing w:after="0"/>
              <w:jc w:val="center"/>
              <w:rPr>
                <w:rFonts w:ascii="Arial" w:hAnsi="Arial" w:cs="Calibri"/>
                <w:b/>
                <w:sz w:val="20"/>
              </w:rPr>
            </w:pPr>
            <w:r>
              <w:rPr>
                <w:rFonts w:ascii="Arial" w:hAnsi="Arial" w:cs="Calibri"/>
                <w:b/>
                <w:sz w:val="20"/>
              </w:rPr>
              <w:t>201</w:t>
            </w:r>
            <w:r w:rsidR="002D6A85">
              <w:rPr>
                <w:rFonts w:ascii="Arial" w:hAnsi="Arial" w:cs="Calibri"/>
                <w:b/>
                <w:sz w:val="20"/>
              </w:rPr>
              <w:t>9</w:t>
            </w: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0A78" w:rsidRPr="005E431B" w:rsidRDefault="00EB0A78" w:rsidP="002D6A85">
            <w:pPr>
              <w:spacing w:after="0"/>
              <w:jc w:val="center"/>
              <w:rPr>
                <w:rFonts w:ascii="Arial" w:hAnsi="Arial" w:cs="Calibri"/>
                <w:b/>
                <w:sz w:val="20"/>
              </w:rPr>
            </w:pPr>
            <w:r>
              <w:rPr>
                <w:rFonts w:ascii="Arial" w:hAnsi="Arial" w:cs="Calibri"/>
                <w:b/>
                <w:sz w:val="20"/>
              </w:rPr>
              <w:t>20</w:t>
            </w:r>
            <w:r w:rsidR="002D6A85">
              <w:rPr>
                <w:rFonts w:ascii="Arial" w:hAnsi="Arial" w:cs="Calibri"/>
                <w:b/>
                <w:sz w:val="20"/>
              </w:rPr>
              <w:t>20</w:t>
            </w: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0A78" w:rsidRPr="005E431B" w:rsidRDefault="00EB0A78" w:rsidP="002D6A85">
            <w:pPr>
              <w:spacing w:after="0"/>
              <w:jc w:val="center"/>
              <w:rPr>
                <w:rFonts w:ascii="Arial" w:hAnsi="Arial" w:cs="Calibri"/>
                <w:b/>
                <w:sz w:val="20"/>
              </w:rPr>
            </w:pPr>
            <w:r>
              <w:rPr>
                <w:rFonts w:ascii="Arial" w:hAnsi="Arial" w:cs="Calibri"/>
                <w:b/>
                <w:sz w:val="20"/>
              </w:rPr>
              <w:t>202</w:t>
            </w:r>
            <w:r w:rsidR="002D6A85">
              <w:rPr>
                <w:rFonts w:ascii="Arial" w:hAnsi="Arial" w:cs="Calibri"/>
                <w:b/>
                <w:sz w:val="20"/>
              </w:rPr>
              <w:t>1</w:t>
            </w:r>
          </w:p>
        </w:tc>
      </w:tr>
      <w:tr w:rsidR="00EB0A78" w:rsidRPr="005E431B" w:rsidTr="00EB0A78">
        <w:trPr>
          <w:gridAfter w:val="1"/>
          <w:wAfter w:w="10" w:type="dxa"/>
          <w:trHeight w:val="375"/>
        </w:trPr>
        <w:tc>
          <w:tcPr>
            <w:tcW w:w="4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0A78" w:rsidRPr="005E431B" w:rsidRDefault="00EB0A78" w:rsidP="0088516D">
            <w:pPr>
              <w:spacing w:after="0"/>
              <w:jc w:val="center"/>
              <w:rPr>
                <w:rFonts w:ascii="Arial" w:hAnsi="Arial" w:cs="Calibri"/>
                <w:b/>
                <w:sz w:val="20"/>
              </w:rPr>
            </w:pPr>
            <w:r>
              <w:rPr>
                <w:rFonts w:ascii="Arial" w:hAnsi="Arial" w:cs="Calibri"/>
                <w:b/>
                <w:sz w:val="20"/>
              </w:rPr>
              <w:t>P Ř Í J M Y</w:t>
            </w: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0A78" w:rsidRPr="005E431B" w:rsidRDefault="002D6A85" w:rsidP="0088516D">
            <w:pPr>
              <w:spacing w:after="0"/>
              <w:jc w:val="center"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sz w:val="20"/>
              </w:rPr>
              <w:t>358 109,19</w:t>
            </w: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0A78" w:rsidRPr="005E431B" w:rsidRDefault="002D6A85" w:rsidP="0088516D">
            <w:pPr>
              <w:spacing w:after="0"/>
              <w:jc w:val="center"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sz w:val="20"/>
              </w:rPr>
              <w:t>362 397,29</w:t>
            </w: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0A78" w:rsidRPr="005E431B" w:rsidRDefault="002D6A85" w:rsidP="0088516D">
            <w:pPr>
              <w:spacing w:after="0"/>
              <w:jc w:val="center"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sz w:val="20"/>
              </w:rPr>
              <w:t>4 448 635,76</w:t>
            </w:r>
          </w:p>
        </w:tc>
      </w:tr>
      <w:tr w:rsidR="00EB0A78" w:rsidRPr="005E431B" w:rsidTr="00EB0A78">
        <w:trPr>
          <w:gridAfter w:val="1"/>
          <w:wAfter w:w="10" w:type="dxa"/>
          <w:trHeight w:val="375"/>
        </w:trPr>
        <w:tc>
          <w:tcPr>
            <w:tcW w:w="4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0A78" w:rsidRPr="005E431B" w:rsidRDefault="00EB0A78" w:rsidP="0088516D">
            <w:pPr>
              <w:spacing w:after="0"/>
              <w:jc w:val="center"/>
              <w:rPr>
                <w:rFonts w:ascii="Arial" w:hAnsi="Arial" w:cs="Calibri"/>
                <w:b/>
                <w:sz w:val="20"/>
              </w:rPr>
            </w:pPr>
            <w:r>
              <w:rPr>
                <w:rFonts w:ascii="Arial" w:hAnsi="Arial" w:cs="Calibri"/>
                <w:b/>
                <w:sz w:val="20"/>
              </w:rPr>
              <w:t>V Ý D A J E</w:t>
            </w: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0A78" w:rsidRPr="005E431B" w:rsidRDefault="002D6A85" w:rsidP="0088516D">
            <w:pPr>
              <w:spacing w:after="0"/>
              <w:jc w:val="center"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sz w:val="20"/>
              </w:rPr>
              <w:t>257 979,54</w:t>
            </w: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0A78" w:rsidRPr="005E431B" w:rsidRDefault="002D6A85" w:rsidP="0088516D">
            <w:pPr>
              <w:spacing w:after="0"/>
              <w:jc w:val="center"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sz w:val="20"/>
              </w:rPr>
              <w:t>383 428,05</w:t>
            </w: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0A78" w:rsidRPr="005E431B" w:rsidRDefault="002D6A85" w:rsidP="0088516D">
            <w:pPr>
              <w:spacing w:after="0"/>
              <w:jc w:val="center"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sz w:val="20"/>
              </w:rPr>
              <w:t>2 955 726,53</w:t>
            </w:r>
          </w:p>
        </w:tc>
      </w:tr>
    </w:tbl>
    <w:p w:rsidR="0038286E" w:rsidRDefault="0038286E" w:rsidP="00EB0A78">
      <w:pPr>
        <w:spacing w:after="0"/>
        <w:rPr>
          <w:rFonts w:ascii="Arial" w:hAnsi="Arial" w:cs="Arial"/>
          <w:b/>
          <w:sz w:val="24"/>
          <w:szCs w:val="24"/>
        </w:rPr>
      </w:pPr>
    </w:p>
    <w:p w:rsidR="002D6A85" w:rsidRDefault="002D6A85" w:rsidP="004453FF">
      <w:pPr>
        <w:spacing w:after="0"/>
        <w:rPr>
          <w:rFonts w:ascii="Arial" w:hAnsi="Arial" w:cs="Arial"/>
          <w:b/>
          <w:sz w:val="24"/>
          <w:szCs w:val="24"/>
        </w:rPr>
      </w:pPr>
    </w:p>
    <w:p w:rsidR="004453FF" w:rsidRPr="004453FF" w:rsidRDefault="004453FF" w:rsidP="004453FF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4453FF">
        <w:rPr>
          <w:rFonts w:ascii="Arial" w:hAnsi="Arial" w:cs="Arial"/>
          <w:b/>
          <w:sz w:val="24"/>
          <w:szCs w:val="24"/>
        </w:rPr>
        <w:t xml:space="preserve">3 – </w:t>
      </w:r>
      <w:r w:rsidRPr="004453FF">
        <w:rPr>
          <w:rFonts w:ascii="Arial" w:hAnsi="Arial" w:cs="Arial"/>
          <w:b/>
          <w:sz w:val="24"/>
          <w:szCs w:val="24"/>
          <w:u w:val="single"/>
        </w:rPr>
        <w:t>Transfery obcí</w:t>
      </w:r>
    </w:p>
    <w:p w:rsidR="004453FF" w:rsidRPr="004453FF" w:rsidRDefault="004453FF" w:rsidP="004453FF">
      <w:pPr>
        <w:spacing w:after="0"/>
        <w:rPr>
          <w:rFonts w:ascii="Arial" w:hAnsi="Arial" w:cs="Arial"/>
          <w:b/>
          <w:sz w:val="24"/>
          <w:szCs w:val="24"/>
        </w:rPr>
      </w:pPr>
    </w:p>
    <w:p w:rsidR="002D6A85" w:rsidRDefault="004453FF" w:rsidP="004453FF">
      <w:pPr>
        <w:spacing w:after="0"/>
        <w:jc w:val="both"/>
        <w:rPr>
          <w:rFonts w:cs="Arial"/>
        </w:rPr>
      </w:pPr>
      <w:r w:rsidRPr="004453FF">
        <w:rPr>
          <w:rFonts w:cs="Arial"/>
        </w:rPr>
        <w:t>Celkový počet členských obcí v DSO Sdružení obcí ČISTÁ JIHLAVA je 1</w:t>
      </w:r>
      <w:r w:rsidR="002D6A85">
        <w:rPr>
          <w:rFonts w:cs="Arial"/>
        </w:rPr>
        <w:t>1</w:t>
      </w:r>
      <w:r w:rsidRPr="004453FF">
        <w:rPr>
          <w:rFonts w:cs="Arial"/>
        </w:rPr>
        <w:t xml:space="preserve">. </w:t>
      </w:r>
      <w:r w:rsidR="002D6A85">
        <w:rPr>
          <w:rFonts w:cs="Arial"/>
        </w:rPr>
        <w:t xml:space="preserve">Na shromáždění starostů DSO dne 9. 12. 2021 bylo na žádost schváleno přistoupení městyse Troskotovice do DSO Sdružení obcí Čistá Jihlava. Členský příspěvek </w:t>
      </w:r>
      <w:r w:rsidRPr="004453FF">
        <w:rPr>
          <w:rFonts w:cs="Arial"/>
        </w:rPr>
        <w:t xml:space="preserve">byl stanoven podle počtu obyvatel každé obce ve výši 35,- Kč za obyvatele/rok.   DSO ČISTÁ JIHLAVA je </w:t>
      </w:r>
    </w:p>
    <w:p w:rsidR="002D6A85" w:rsidRDefault="002D6A85" w:rsidP="004453FF">
      <w:pPr>
        <w:spacing w:after="0"/>
        <w:jc w:val="both"/>
        <w:rPr>
          <w:rFonts w:cs="Arial"/>
        </w:rPr>
      </w:pPr>
    </w:p>
    <w:p w:rsidR="004453FF" w:rsidRPr="004453FF" w:rsidRDefault="004453FF" w:rsidP="004453FF">
      <w:pPr>
        <w:spacing w:after="0"/>
        <w:jc w:val="both"/>
        <w:rPr>
          <w:rFonts w:cs="Arial"/>
        </w:rPr>
      </w:pPr>
      <w:r w:rsidRPr="004453FF">
        <w:rPr>
          <w:rFonts w:cs="Arial"/>
        </w:rPr>
        <w:lastRenderedPageBreak/>
        <w:t xml:space="preserve">členem MAS Podbrněnsko, spolku se sídlem v Pohořelicích, Brněnská 2 a za své členské obce svazek hradí členský příspěvek. </w:t>
      </w:r>
      <w:r w:rsidR="002D6A85">
        <w:rPr>
          <w:rFonts w:cs="Arial"/>
        </w:rPr>
        <w:t>Městys Troskotovice je členem MAS Podbrněnsko samostatně a hradí si členský příspěvek sám.</w:t>
      </w:r>
      <w:r w:rsidRPr="004453FF">
        <w:rPr>
          <w:rFonts w:cs="Arial"/>
        </w:rPr>
        <w:t xml:space="preserve">  </w:t>
      </w:r>
    </w:p>
    <w:p w:rsidR="004453FF" w:rsidRDefault="004453FF" w:rsidP="004453FF">
      <w:pPr>
        <w:spacing w:after="0"/>
        <w:jc w:val="both"/>
        <w:rPr>
          <w:rFonts w:cs="Arial"/>
        </w:rPr>
      </w:pPr>
      <w:r w:rsidRPr="004453FF">
        <w:rPr>
          <w:rFonts w:cs="Arial"/>
        </w:rPr>
        <w:t>V roce 20</w:t>
      </w:r>
      <w:r w:rsidR="00F51FC7">
        <w:rPr>
          <w:rFonts w:cs="Arial"/>
        </w:rPr>
        <w:t>2</w:t>
      </w:r>
      <w:r w:rsidR="002D6A85">
        <w:rPr>
          <w:rFonts w:cs="Arial"/>
        </w:rPr>
        <w:t>1</w:t>
      </w:r>
      <w:r w:rsidRPr="004453FF">
        <w:rPr>
          <w:rFonts w:cs="Arial"/>
        </w:rPr>
        <w:t xml:space="preserve"> svazek uhradil členský příspěvek MAS Podbrněnsko ve výši </w:t>
      </w:r>
      <w:r w:rsidR="00D23795">
        <w:rPr>
          <w:rFonts w:cs="Arial"/>
        </w:rPr>
        <w:t>52.518</w:t>
      </w:r>
      <w:r w:rsidRPr="004453FF">
        <w:rPr>
          <w:rFonts w:cs="Arial"/>
        </w:rPr>
        <w:t xml:space="preserve">,- Kč </w:t>
      </w:r>
      <w:r w:rsidR="00E47075">
        <w:rPr>
          <w:rFonts w:cs="Arial"/>
        </w:rPr>
        <w:t xml:space="preserve">a dále částku 20 000,- Kč </w:t>
      </w:r>
      <w:r w:rsidR="00EB0696">
        <w:rPr>
          <w:rFonts w:cs="Arial"/>
        </w:rPr>
        <w:t>č</w:t>
      </w:r>
      <w:r w:rsidR="00E47075">
        <w:rPr>
          <w:rFonts w:cs="Arial"/>
        </w:rPr>
        <w:t xml:space="preserve">lenský příspěvek Mikulovsko destinační společnosti. </w:t>
      </w:r>
      <w:r w:rsidRPr="004453FF">
        <w:rPr>
          <w:rFonts w:cs="Arial"/>
        </w:rPr>
        <w:t xml:space="preserve"> </w:t>
      </w:r>
    </w:p>
    <w:p w:rsidR="006E5C7B" w:rsidRDefault="006E5C7B" w:rsidP="004453FF">
      <w:pPr>
        <w:spacing w:after="0"/>
        <w:jc w:val="both"/>
        <w:rPr>
          <w:noProof/>
          <w:lang w:eastAsia="cs-CZ"/>
        </w:rPr>
      </w:pPr>
    </w:p>
    <w:tbl>
      <w:tblPr>
        <w:tblW w:w="10027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030"/>
        <w:gridCol w:w="3759"/>
        <w:gridCol w:w="2104"/>
        <w:gridCol w:w="2104"/>
        <w:gridCol w:w="1030"/>
      </w:tblGrid>
      <w:tr w:rsidR="005E3834" w:rsidRPr="005E3834" w:rsidTr="005E3834">
        <w:trPr>
          <w:trHeight w:val="412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b/>
                <w:bCs/>
                <w:color w:val="000000"/>
                <w:lang w:eastAsia="cs-CZ"/>
              </w:rPr>
              <w:t>ORG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b/>
                <w:bCs/>
                <w:color w:val="000000"/>
                <w:lang w:eastAsia="cs-CZ"/>
              </w:rPr>
              <w:t>Rozpočet schválený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b/>
                <w:bCs/>
                <w:color w:val="000000"/>
                <w:lang w:eastAsia="cs-CZ"/>
              </w:rPr>
              <w:t>Skutečnost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5E3834" w:rsidRPr="005E3834" w:rsidRDefault="005E3834" w:rsidP="005E38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b/>
                <w:bCs/>
                <w:color w:val="000000"/>
                <w:lang w:eastAsia="cs-CZ"/>
              </w:rPr>
              <w:t>Plnění %</w:t>
            </w:r>
          </w:p>
        </w:tc>
      </w:tr>
      <w:tr w:rsidR="005E3834" w:rsidRPr="005E3834" w:rsidTr="005E3834">
        <w:trPr>
          <w:trHeight w:val="308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53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b/>
                <w:bCs/>
                <w:color w:val="000000"/>
                <w:lang w:eastAsia="cs-CZ"/>
              </w:rPr>
              <w:t>Malešovice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24 800,00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24 710,00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99,64</w:t>
            </w:r>
          </w:p>
        </w:tc>
      </w:tr>
      <w:tr w:rsidR="005E3834" w:rsidRPr="005E3834" w:rsidTr="005E3834">
        <w:trPr>
          <w:trHeight w:val="308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72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b/>
                <w:bCs/>
                <w:color w:val="000000"/>
                <w:lang w:eastAsia="cs-CZ"/>
              </w:rPr>
              <w:t>Odrovice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8 000,00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7 945,00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99,31</w:t>
            </w:r>
          </w:p>
        </w:tc>
      </w:tr>
      <w:tr w:rsidR="005E3834" w:rsidRPr="005E3834" w:rsidTr="005E3834">
        <w:trPr>
          <w:trHeight w:val="308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226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b/>
                <w:bCs/>
                <w:color w:val="000000"/>
                <w:lang w:eastAsia="cs-CZ"/>
              </w:rPr>
              <w:t>Branišovice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21 200,00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21 105,00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99,55</w:t>
            </w:r>
          </w:p>
        </w:tc>
      </w:tr>
      <w:tr w:rsidR="005E3834" w:rsidRPr="005E3834" w:rsidTr="005E3834">
        <w:trPr>
          <w:trHeight w:val="308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230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b/>
                <w:bCs/>
                <w:color w:val="000000"/>
                <w:lang w:eastAsia="cs-CZ"/>
              </w:rPr>
              <w:t>Cvrčovice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22 200,00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22 190,00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99,95</w:t>
            </w:r>
          </w:p>
        </w:tc>
      </w:tr>
      <w:tr w:rsidR="005E3834" w:rsidRPr="005E3834" w:rsidTr="005E3834">
        <w:trPr>
          <w:trHeight w:val="308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232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b/>
                <w:bCs/>
                <w:color w:val="000000"/>
                <w:lang w:eastAsia="cs-CZ"/>
              </w:rPr>
              <w:t>Loděnice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18 600,00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18 550,00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99,73</w:t>
            </w:r>
          </w:p>
        </w:tc>
      </w:tr>
      <w:tr w:rsidR="005E3834" w:rsidRPr="005E3834" w:rsidTr="005E3834">
        <w:trPr>
          <w:trHeight w:val="308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234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b/>
                <w:bCs/>
                <w:color w:val="000000"/>
                <w:lang w:eastAsia="cs-CZ"/>
              </w:rPr>
              <w:t>Ivaň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25 700,00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25 690,00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99,96</w:t>
            </w:r>
          </w:p>
        </w:tc>
      </w:tr>
      <w:tr w:rsidR="005E3834" w:rsidRPr="005E3834" w:rsidTr="005E3834">
        <w:trPr>
          <w:trHeight w:val="308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237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b/>
                <w:bCs/>
                <w:color w:val="000000"/>
                <w:lang w:eastAsia="cs-CZ"/>
              </w:rPr>
              <w:t>Pasohlávky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25 900,00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25 865,00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99,86</w:t>
            </w:r>
          </w:p>
        </w:tc>
      </w:tr>
      <w:tr w:rsidR="005E3834" w:rsidRPr="005E3834" w:rsidTr="005E3834">
        <w:trPr>
          <w:trHeight w:val="308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238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b/>
                <w:bCs/>
                <w:color w:val="000000"/>
                <w:lang w:eastAsia="cs-CZ"/>
              </w:rPr>
              <w:t>Pohořelice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179 700,00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179 655,00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99,97</w:t>
            </w:r>
          </w:p>
        </w:tc>
      </w:tr>
      <w:tr w:rsidR="005E3834" w:rsidRPr="005E3834" w:rsidTr="005E3834">
        <w:trPr>
          <w:trHeight w:val="308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239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b/>
                <w:bCs/>
                <w:color w:val="000000"/>
                <w:lang w:eastAsia="cs-CZ"/>
              </w:rPr>
              <w:t>Přibice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36 500,00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36 470,00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99,92</w:t>
            </w:r>
          </w:p>
        </w:tc>
      </w:tr>
      <w:tr w:rsidR="005E3834" w:rsidRPr="005E3834" w:rsidTr="005E3834">
        <w:trPr>
          <w:trHeight w:val="308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244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b/>
                <w:bCs/>
                <w:color w:val="000000"/>
                <w:lang w:eastAsia="cs-CZ"/>
              </w:rPr>
              <w:t>Šumice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9 900,00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9 870,00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99,70</w:t>
            </w:r>
          </w:p>
        </w:tc>
      </w:tr>
      <w:tr w:rsidR="005E3834" w:rsidRPr="005E3834" w:rsidTr="005E3834">
        <w:trPr>
          <w:trHeight w:val="412"/>
        </w:trPr>
        <w:tc>
          <w:tcPr>
            <w:tcW w:w="4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b/>
                <w:bCs/>
                <w:color w:val="000000"/>
                <w:lang w:eastAsia="cs-CZ"/>
              </w:rPr>
              <w:t>372 500,00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b/>
                <w:bCs/>
                <w:color w:val="000000"/>
                <w:lang w:eastAsia="cs-CZ"/>
              </w:rPr>
              <w:t>372 050,00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3834" w:rsidRPr="005E3834" w:rsidRDefault="005E3834" w:rsidP="005E383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E383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</w:tbl>
    <w:p w:rsidR="005E3834" w:rsidRDefault="005E3834" w:rsidP="004453FF">
      <w:pPr>
        <w:spacing w:after="0"/>
        <w:jc w:val="both"/>
        <w:rPr>
          <w:noProof/>
          <w:lang w:eastAsia="cs-CZ"/>
        </w:rPr>
      </w:pPr>
    </w:p>
    <w:p w:rsidR="008643D5" w:rsidRDefault="008643D5" w:rsidP="00096043">
      <w:pPr>
        <w:spacing w:after="0"/>
        <w:rPr>
          <w:rFonts w:ascii="Arial" w:hAnsi="Arial"/>
          <w:b/>
          <w:sz w:val="24"/>
        </w:rPr>
      </w:pPr>
    </w:p>
    <w:p w:rsidR="00096043" w:rsidRPr="00096043" w:rsidRDefault="00096043" w:rsidP="00096043">
      <w:pPr>
        <w:spacing w:after="0"/>
        <w:rPr>
          <w:rFonts w:ascii="Arial" w:hAnsi="Arial"/>
          <w:b/>
          <w:sz w:val="24"/>
          <w:u w:val="single"/>
        </w:rPr>
      </w:pPr>
      <w:r w:rsidRPr="00096043">
        <w:rPr>
          <w:rFonts w:ascii="Arial" w:hAnsi="Arial"/>
          <w:b/>
          <w:sz w:val="24"/>
        </w:rPr>
        <w:t xml:space="preserve">4 - </w:t>
      </w:r>
      <w:r w:rsidRPr="00096043">
        <w:rPr>
          <w:rFonts w:ascii="Arial" w:hAnsi="Arial"/>
          <w:b/>
          <w:sz w:val="24"/>
          <w:u w:val="single"/>
        </w:rPr>
        <w:t>Zpráva o výsledku přezkoumání hospodaření za rok 20</w:t>
      </w:r>
      <w:r w:rsidR="00F51FC7">
        <w:rPr>
          <w:rFonts w:ascii="Arial" w:hAnsi="Arial"/>
          <w:b/>
          <w:sz w:val="24"/>
          <w:u w:val="single"/>
        </w:rPr>
        <w:t>2</w:t>
      </w:r>
      <w:r w:rsidR="005E3834">
        <w:rPr>
          <w:rFonts w:ascii="Arial" w:hAnsi="Arial"/>
          <w:b/>
          <w:sz w:val="24"/>
          <w:u w:val="single"/>
        </w:rPr>
        <w:t>1</w:t>
      </w:r>
    </w:p>
    <w:p w:rsidR="00096043" w:rsidRPr="00096043" w:rsidRDefault="00096043" w:rsidP="00096043">
      <w:pPr>
        <w:spacing w:after="0"/>
        <w:rPr>
          <w:rFonts w:ascii="Arial" w:hAnsi="Arial"/>
          <w:b/>
          <w:sz w:val="24"/>
        </w:rPr>
      </w:pPr>
    </w:p>
    <w:p w:rsidR="00096043" w:rsidRDefault="00096043" w:rsidP="00096043">
      <w:pPr>
        <w:autoSpaceDE w:val="0"/>
        <w:autoSpaceDN w:val="0"/>
        <w:adjustRightInd w:val="0"/>
        <w:jc w:val="both"/>
      </w:pPr>
      <w:r w:rsidRPr="00096043">
        <w:t>Přezkoumání hospodaření Sdružení obcí Čistá Jihlava za rok 20</w:t>
      </w:r>
      <w:r w:rsidR="00F51FC7">
        <w:t>2</w:t>
      </w:r>
      <w:r w:rsidR="005E3834">
        <w:t>1</w:t>
      </w:r>
      <w:r w:rsidRPr="00096043">
        <w:t xml:space="preserve"> </w:t>
      </w:r>
      <w:r>
        <w:t xml:space="preserve">provedla kontrolorka </w:t>
      </w:r>
      <w:r w:rsidR="005E3834">
        <w:t>Eva Sedláčková</w:t>
      </w:r>
      <w:r>
        <w:t xml:space="preserve">, </w:t>
      </w:r>
      <w:r w:rsidRPr="00096043">
        <w:t xml:space="preserve">oprávněná osoba poskytování auditorských služeb, oddělení přezkoumání hospodaření obcí a DSO, odbor kontroly Krajského úřadu Jihomoravského kraje. </w:t>
      </w:r>
    </w:p>
    <w:p w:rsidR="00096043" w:rsidRDefault="00096043" w:rsidP="00096043">
      <w:pPr>
        <w:autoSpaceDE w:val="0"/>
        <w:autoSpaceDN w:val="0"/>
        <w:adjustRightInd w:val="0"/>
        <w:jc w:val="both"/>
      </w:pPr>
      <w:r w:rsidRPr="00096043">
        <w:t xml:space="preserve">Přezkoumání bylo provedeno v souladu se zákonem č. 420/2004 Sb. O přezkoumání hospodaření DSO a ÚSC dne            </w:t>
      </w:r>
      <w:r w:rsidR="005E3834">
        <w:t>2</w:t>
      </w:r>
      <w:r w:rsidR="00F51FC7">
        <w:t>3. května 202</w:t>
      </w:r>
      <w:r w:rsidR="005E3834">
        <w:t>2</w:t>
      </w:r>
      <w:r w:rsidRPr="00096043">
        <w:t xml:space="preserve">. Dílčí přezkoumání hospodaření bylo provedeno dne </w:t>
      </w:r>
      <w:r w:rsidR="00CB25E1">
        <w:t>2</w:t>
      </w:r>
      <w:r w:rsidR="005E3834">
        <w:t>6</w:t>
      </w:r>
      <w:r>
        <w:t>. října 20</w:t>
      </w:r>
      <w:r w:rsidR="00CB25E1">
        <w:t>2</w:t>
      </w:r>
      <w:r w:rsidR="005E3834">
        <w:t>1</w:t>
      </w:r>
      <w:r w:rsidRPr="00096043">
        <w:t xml:space="preserve"> </w:t>
      </w:r>
      <w:r w:rsidR="00F51FC7">
        <w:t xml:space="preserve">rovněž </w:t>
      </w:r>
      <w:r w:rsidRPr="00096043">
        <w:t xml:space="preserve">kontrolorkou </w:t>
      </w:r>
      <w:r w:rsidR="00F51FC7">
        <w:t xml:space="preserve">paní </w:t>
      </w:r>
      <w:r w:rsidR="005E3834">
        <w:t>Sedláčkovou.</w:t>
      </w:r>
      <w:r w:rsidR="00F51FC7">
        <w:t xml:space="preserve"> </w:t>
      </w:r>
      <w:r w:rsidRPr="00096043">
        <w:t xml:space="preserve"> </w:t>
      </w:r>
    </w:p>
    <w:p w:rsidR="005246EC" w:rsidRDefault="001C3583" w:rsidP="00096043">
      <w:pPr>
        <w:autoSpaceDE w:val="0"/>
        <w:autoSpaceDN w:val="0"/>
        <w:adjustRightInd w:val="0"/>
        <w:jc w:val="both"/>
      </w:pPr>
      <w:r>
        <w:rPr>
          <w:noProof/>
          <w:lang w:eastAsia="cs-CZ"/>
        </w:rPr>
        <w:drawing>
          <wp:inline distT="0" distB="0" distL="0" distR="0">
            <wp:extent cx="6391275" cy="2981325"/>
            <wp:effectExtent l="19050" t="0" r="9525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6EC" w:rsidRPr="00087844" w:rsidRDefault="005246EC" w:rsidP="00096043">
      <w:pPr>
        <w:autoSpaceDE w:val="0"/>
        <w:autoSpaceDN w:val="0"/>
        <w:adjustRightInd w:val="0"/>
        <w:jc w:val="both"/>
        <w:rPr>
          <w:noProof/>
          <w:lang w:eastAsia="cs-CZ"/>
        </w:rPr>
      </w:pPr>
    </w:p>
    <w:p w:rsidR="005246EC" w:rsidRDefault="005246EC" w:rsidP="00096043">
      <w:pPr>
        <w:autoSpaceDE w:val="0"/>
        <w:autoSpaceDN w:val="0"/>
        <w:adjustRightInd w:val="0"/>
        <w:jc w:val="both"/>
      </w:pPr>
    </w:p>
    <w:p w:rsidR="001A2E4D" w:rsidRDefault="001A2E4D" w:rsidP="00096043">
      <w:pPr>
        <w:autoSpaceDE w:val="0"/>
        <w:autoSpaceDN w:val="0"/>
        <w:adjustRightInd w:val="0"/>
        <w:jc w:val="both"/>
      </w:pPr>
    </w:p>
    <w:p w:rsidR="005E3834" w:rsidRDefault="001C3583" w:rsidP="00096043">
      <w:pPr>
        <w:autoSpaceDE w:val="0"/>
        <w:autoSpaceDN w:val="0"/>
        <w:adjustRightInd w:val="0"/>
        <w:jc w:val="both"/>
      </w:pPr>
      <w:r>
        <w:rPr>
          <w:noProof/>
          <w:lang w:eastAsia="cs-CZ"/>
        </w:rPr>
        <w:drawing>
          <wp:inline distT="0" distB="0" distL="0" distR="0">
            <wp:extent cx="6391275" cy="3343275"/>
            <wp:effectExtent l="1905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43" w:rsidRPr="004F43F2" w:rsidRDefault="004A28EA" w:rsidP="004A28EA">
      <w:pPr>
        <w:rPr>
          <w:rFonts w:cs="Calibri"/>
        </w:rPr>
      </w:pPr>
      <w:r w:rsidRPr="004F43F2">
        <w:rPr>
          <w:rFonts w:cs="Calibri"/>
        </w:rPr>
        <w:t xml:space="preserve">Plné znění zprávy </w:t>
      </w:r>
      <w:r w:rsidR="002A4122">
        <w:rPr>
          <w:rFonts w:cs="Calibri"/>
        </w:rPr>
        <w:t xml:space="preserve">o přezkumu za rok 2020 </w:t>
      </w:r>
      <w:r w:rsidRPr="004F43F2">
        <w:rPr>
          <w:rFonts w:cs="Calibri"/>
        </w:rPr>
        <w:t>je nedílnou součástí závěrečného účtu.</w:t>
      </w:r>
    </w:p>
    <w:p w:rsidR="00940551" w:rsidRPr="004F43F2" w:rsidRDefault="00940551" w:rsidP="004A28EA">
      <w:pPr>
        <w:rPr>
          <w:rFonts w:cs="Calibri"/>
        </w:rPr>
      </w:pPr>
    </w:p>
    <w:p w:rsidR="00F92A87" w:rsidRDefault="00F92A87" w:rsidP="00F92A87">
      <w:pPr>
        <w:spacing w:after="0" w:line="240" w:lineRule="auto"/>
        <w:rPr>
          <w:rFonts w:ascii="Arial" w:hAnsi="Arial"/>
          <w:b/>
          <w:sz w:val="24"/>
          <w:u w:val="single"/>
        </w:rPr>
      </w:pPr>
      <w:r w:rsidRPr="00F92A87">
        <w:rPr>
          <w:rFonts w:ascii="Arial" w:hAnsi="Arial"/>
          <w:b/>
          <w:sz w:val="24"/>
        </w:rPr>
        <w:t xml:space="preserve">5 -  </w:t>
      </w:r>
      <w:r w:rsidRPr="00F92A87">
        <w:rPr>
          <w:rFonts w:ascii="Arial" w:hAnsi="Arial"/>
          <w:b/>
          <w:sz w:val="24"/>
          <w:u w:val="single"/>
        </w:rPr>
        <w:t>Vzdělávací činnost</w:t>
      </w:r>
    </w:p>
    <w:p w:rsidR="005246EC" w:rsidRDefault="005246EC" w:rsidP="00F92A87">
      <w:pPr>
        <w:spacing w:after="0" w:line="240" w:lineRule="auto"/>
        <w:rPr>
          <w:rFonts w:ascii="Arial" w:hAnsi="Arial"/>
          <w:b/>
          <w:sz w:val="24"/>
          <w:u w:val="single"/>
        </w:rPr>
      </w:pPr>
    </w:p>
    <w:p w:rsidR="00F92A87" w:rsidRPr="00F92A87" w:rsidRDefault="00F92A87" w:rsidP="00F92A87">
      <w:pPr>
        <w:spacing w:after="0"/>
        <w:jc w:val="both"/>
      </w:pPr>
      <w:r w:rsidRPr="00F92A87">
        <w:t>Činnost svazku v oblasti vzdělávání spočívala především v pořádání seminářů</w:t>
      </w:r>
      <w:r w:rsidR="002A4122">
        <w:t xml:space="preserve">, ale z důvodu mimořádné situace </w:t>
      </w:r>
      <w:r w:rsidR="003808D8">
        <w:t xml:space="preserve">související s koronavirem, tyto semináře </w:t>
      </w:r>
      <w:r w:rsidR="005246EC">
        <w:t xml:space="preserve">až na vyjímky </w:t>
      </w:r>
      <w:r w:rsidR="003808D8">
        <w:t>probíhaly online formou.</w:t>
      </w:r>
      <w:r w:rsidRPr="00F92A87">
        <w:t xml:space="preserve"> Příznivý ohlas měly jako každoročně konzultační dny pro účetní obcí jak z regionu, tak přilehlých obcí a DSO, v souvislosti na aktuální stav účetnictví státu a daní. Tyto konzultační dny vede lektorka Ing. Bc. Lenka Zábojová z UKZ.CZ Znojmo. </w:t>
      </w:r>
    </w:p>
    <w:p w:rsidR="00F92A87" w:rsidRDefault="00F92A87" w:rsidP="00F92A87">
      <w:pPr>
        <w:spacing w:after="0"/>
        <w:jc w:val="both"/>
      </w:pPr>
      <w:r w:rsidRPr="00F92A87">
        <w:t>V roce 20</w:t>
      </w:r>
      <w:r w:rsidR="00D67AE6">
        <w:t>2</w:t>
      </w:r>
      <w:r w:rsidR="005246EC">
        <w:t>1</w:t>
      </w:r>
      <w:r w:rsidRPr="00F92A87">
        <w:t xml:space="preserve"> proběhla i vícedenní vzdělávací akce pro účetní, stejně tak se tyto účetní školily</w:t>
      </w:r>
      <w:r>
        <w:t xml:space="preserve"> na seminářích v Brně a Znojmě.</w:t>
      </w:r>
      <w:r w:rsidR="00F51FC7">
        <w:t xml:space="preserve"> </w:t>
      </w:r>
    </w:p>
    <w:p w:rsidR="00F92A87" w:rsidRDefault="00F92A87" w:rsidP="00F92A87">
      <w:pPr>
        <w:spacing w:after="0"/>
        <w:jc w:val="both"/>
      </w:pPr>
    </w:p>
    <w:p w:rsidR="00F92A87" w:rsidRDefault="002114D1" w:rsidP="00F92A87">
      <w:pPr>
        <w:spacing w:after="0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 xml:space="preserve">6 -  </w:t>
      </w:r>
      <w:r w:rsidRPr="008929FF">
        <w:rPr>
          <w:rFonts w:ascii="Arial" w:hAnsi="Arial"/>
          <w:b/>
          <w:sz w:val="24"/>
          <w:u w:val="single"/>
        </w:rPr>
        <w:t>Majetek a inventarizace</w:t>
      </w:r>
    </w:p>
    <w:p w:rsidR="002114D1" w:rsidRDefault="002114D1" w:rsidP="00F92A87">
      <w:pPr>
        <w:spacing w:after="0"/>
        <w:jc w:val="both"/>
        <w:rPr>
          <w:rFonts w:ascii="Arial" w:hAnsi="Arial"/>
          <w:b/>
          <w:sz w:val="24"/>
          <w:u w:val="single"/>
        </w:rPr>
      </w:pPr>
    </w:p>
    <w:p w:rsidR="00F51FC7" w:rsidRDefault="00303BD9" w:rsidP="00F92A87">
      <w:pPr>
        <w:spacing w:after="0"/>
        <w:jc w:val="both"/>
      </w:pPr>
      <w:r w:rsidRPr="004F43F2">
        <w:t>V roce 20</w:t>
      </w:r>
      <w:r w:rsidR="00F51FC7">
        <w:t>2</w:t>
      </w:r>
      <w:r w:rsidR="009A2CB6">
        <w:t>1</w:t>
      </w:r>
      <w:r w:rsidRPr="004F43F2">
        <w:t xml:space="preserve"> svazek </w:t>
      </w:r>
      <w:r w:rsidR="00F51FC7">
        <w:t>pořídil následující hmotný i nehmotný drobný majetek:</w:t>
      </w:r>
    </w:p>
    <w:p w:rsidR="009A2CB6" w:rsidRDefault="009A2CB6" w:rsidP="00F92A87">
      <w:pPr>
        <w:spacing w:after="0"/>
        <w:jc w:val="both"/>
      </w:pPr>
    </w:p>
    <w:p w:rsidR="009A2CB6" w:rsidRPr="009A2CB6" w:rsidRDefault="00F51FC7" w:rsidP="00F92A87">
      <w:pPr>
        <w:spacing w:after="0"/>
        <w:jc w:val="both"/>
        <w:rPr>
          <w:b/>
        </w:rPr>
      </w:pPr>
      <w:r w:rsidRPr="009A2CB6">
        <w:rPr>
          <w:b/>
        </w:rPr>
        <w:t xml:space="preserve">Drobný nehmotný majetek </w:t>
      </w:r>
    </w:p>
    <w:p w:rsidR="009A2CB6" w:rsidRDefault="001C3583" w:rsidP="00F92A87">
      <w:pPr>
        <w:spacing w:after="0"/>
        <w:jc w:val="both"/>
      </w:pPr>
      <w:r>
        <w:rPr>
          <w:noProof/>
          <w:lang w:eastAsia="cs-CZ"/>
        </w:rPr>
        <w:drawing>
          <wp:inline distT="0" distB="0" distL="0" distR="0">
            <wp:extent cx="6391275" cy="295275"/>
            <wp:effectExtent l="19050" t="0" r="9525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CB6" w:rsidRDefault="009A2CB6" w:rsidP="00F92A87">
      <w:pPr>
        <w:spacing w:after="0"/>
        <w:jc w:val="both"/>
      </w:pPr>
    </w:p>
    <w:p w:rsidR="009A2CB6" w:rsidRDefault="00F51FC7" w:rsidP="00F92A87">
      <w:pPr>
        <w:spacing w:after="0"/>
        <w:jc w:val="both"/>
        <w:rPr>
          <w:b/>
        </w:rPr>
      </w:pPr>
      <w:r w:rsidRPr="009A2CB6">
        <w:rPr>
          <w:b/>
        </w:rPr>
        <w:t xml:space="preserve">Drobný hmotný majetek </w:t>
      </w:r>
      <w:r w:rsidRPr="009A2CB6">
        <w:rPr>
          <w:b/>
        </w:rPr>
        <w:tab/>
      </w:r>
    </w:p>
    <w:p w:rsidR="009A2CB6" w:rsidRDefault="001C3583" w:rsidP="00F92A87">
      <w:pPr>
        <w:spacing w:after="0"/>
        <w:jc w:val="both"/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6391275" cy="1314450"/>
            <wp:effectExtent l="19050" t="0" r="9525" b="0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CB6" w:rsidRDefault="009A2CB6" w:rsidP="00F92A87">
      <w:pPr>
        <w:spacing w:after="0"/>
        <w:jc w:val="both"/>
        <w:rPr>
          <w:b/>
        </w:rPr>
      </w:pPr>
    </w:p>
    <w:p w:rsidR="009A2CB6" w:rsidRDefault="009A2CB6" w:rsidP="00F92A87">
      <w:pPr>
        <w:spacing w:after="0"/>
        <w:jc w:val="both"/>
        <w:rPr>
          <w:b/>
        </w:rPr>
      </w:pPr>
    </w:p>
    <w:p w:rsidR="009A2CB6" w:rsidRDefault="009A2CB6" w:rsidP="00F92A87">
      <w:pPr>
        <w:spacing w:after="0"/>
        <w:jc w:val="both"/>
        <w:rPr>
          <w:b/>
        </w:rPr>
      </w:pPr>
    </w:p>
    <w:p w:rsidR="009A2CB6" w:rsidRDefault="009A2CB6" w:rsidP="00F92A87">
      <w:pPr>
        <w:spacing w:after="0"/>
        <w:jc w:val="both"/>
      </w:pPr>
    </w:p>
    <w:p w:rsidR="002114D1" w:rsidRPr="004F43F2" w:rsidRDefault="00303BD9" w:rsidP="00F92A87">
      <w:pPr>
        <w:spacing w:after="0"/>
        <w:jc w:val="both"/>
      </w:pPr>
      <w:r w:rsidRPr="004F43F2">
        <w:t>U majetku Stavby – značení Moravské vinařské stez</w:t>
      </w:r>
      <w:r w:rsidR="009A2CB6">
        <w:t xml:space="preserve">ky zůstává zbytková hodnota 5% </w:t>
      </w:r>
      <w:r w:rsidRPr="004F43F2">
        <w:t>ve výši 11 400,12 Kč a zůstatek transferu 7 356,99 Kč.</w:t>
      </w:r>
    </w:p>
    <w:p w:rsidR="00303BD9" w:rsidRPr="004F43F2" w:rsidRDefault="00303BD9" w:rsidP="00F92A87">
      <w:pPr>
        <w:spacing w:after="0"/>
        <w:jc w:val="both"/>
      </w:pPr>
      <w:r w:rsidRPr="004F43F2">
        <w:t xml:space="preserve">Zůstatková hodnota po ročním odpisu u zařízení INFRASET (samostatné hmotné movité věci) </w:t>
      </w:r>
      <w:r w:rsidRPr="001A2E4D">
        <w:t xml:space="preserve">je </w:t>
      </w:r>
      <w:r w:rsidR="009A2CB6">
        <w:t>168 100</w:t>
      </w:r>
      <w:r w:rsidR="001A2E4D" w:rsidRPr="001A2E4D">
        <w:t>,00</w:t>
      </w:r>
      <w:r w:rsidRPr="001A2E4D">
        <w:t xml:space="preserve"> Kč.</w:t>
      </w:r>
    </w:p>
    <w:p w:rsidR="002114D1" w:rsidRDefault="002114D1" w:rsidP="00F92A87">
      <w:pPr>
        <w:spacing w:after="0"/>
        <w:jc w:val="both"/>
      </w:pPr>
    </w:p>
    <w:p w:rsidR="00724551" w:rsidRDefault="00724551" w:rsidP="007245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4551">
        <w:rPr>
          <w:rFonts w:ascii="Arial" w:hAnsi="Arial" w:cs="Arial"/>
          <w:b/>
          <w:sz w:val="24"/>
          <w:szCs w:val="24"/>
        </w:rPr>
        <w:t>MAJETEK</w:t>
      </w:r>
    </w:p>
    <w:p w:rsidR="00711568" w:rsidRDefault="00711568" w:rsidP="00711568">
      <w:pPr>
        <w:spacing w:after="0"/>
        <w:rPr>
          <w:rFonts w:ascii="Arial" w:hAnsi="Arial" w:cs="Arial"/>
          <w:b/>
          <w:sz w:val="24"/>
          <w:szCs w:val="24"/>
        </w:rPr>
      </w:pPr>
    </w:p>
    <w:p w:rsidR="00711568" w:rsidRDefault="001C3583" w:rsidP="007245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6667500" cy="2305050"/>
            <wp:effectExtent l="19050" t="0" r="0" b="0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CB6" w:rsidRDefault="009A2CB6" w:rsidP="007245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90EF8" w:rsidRPr="00B90EF8" w:rsidRDefault="00B90EF8" w:rsidP="00B90EF8">
      <w:pPr>
        <w:spacing w:after="0" w:line="240" w:lineRule="auto"/>
      </w:pPr>
      <w:r w:rsidRPr="00B90EF8">
        <w:t>Inventarizace majetku byla připravena k 31.12.</w:t>
      </w:r>
      <w:r w:rsidR="009A2CB6">
        <w:t>202</w:t>
      </w:r>
      <w:r w:rsidR="00711568">
        <w:t>1</w:t>
      </w:r>
      <w:r w:rsidRPr="00B90EF8">
        <w:t xml:space="preserve"> K rozvahovému dni byla provedena inventarizace účtů, </w:t>
      </w:r>
    </w:p>
    <w:p w:rsidR="00B90EF8" w:rsidRPr="00B90EF8" w:rsidRDefault="00B90EF8" w:rsidP="00B90EF8">
      <w:pPr>
        <w:spacing w:after="0" w:line="240" w:lineRule="auto"/>
      </w:pPr>
      <w:r w:rsidRPr="00B90EF8">
        <w:t>finančního majetku, účtů pohledávek a závazků, DDHM, DDNM a DHM.</w:t>
      </w:r>
    </w:p>
    <w:p w:rsidR="00B90EF8" w:rsidRPr="00B90EF8" w:rsidRDefault="00B90EF8" w:rsidP="00B90EF8">
      <w:pPr>
        <w:spacing w:after="0" w:line="240" w:lineRule="auto"/>
      </w:pPr>
    </w:p>
    <w:p w:rsidR="00B90EF8" w:rsidRPr="00B90EF8" w:rsidRDefault="00B90EF8" w:rsidP="00B90EF8">
      <w:pPr>
        <w:spacing w:after="0" w:line="240" w:lineRule="auto"/>
      </w:pPr>
      <w:r w:rsidRPr="00B90EF8">
        <w:t>Skutečné stavy byly zjišťovány:</w:t>
      </w:r>
    </w:p>
    <w:p w:rsidR="00B90EF8" w:rsidRPr="00B90EF8" w:rsidRDefault="00B90EF8" w:rsidP="00B90EF8">
      <w:pPr>
        <w:spacing w:after="0" w:line="240" w:lineRule="auto"/>
        <w:ind w:firstLine="708"/>
      </w:pPr>
      <w:r w:rsidRPr="00B90EF8">
        <w:t>a) fyzickou inventurou u majetku</w:t>
      </w:r>
    </w:p>
    <w:p w:rsidR="00B90EF8" w:rsidRPr="00B90EF8" w:rsidRDefault="00B90EF8" w:rsidP="00B90EF8">
      <w:pPr>
        <w:spacing w:after="0" w:line="240" w:lineRule="auto"/>
        <w:ind w:firstLine="708"/>
      </w:pPr>
      <w:r w:rsidRPr="00B90EF8">
        <w:t>b) dokladovou inventurou u finančního majetku, závazků a pohledávek</w:t>
      </w:r>
    </w:p>
    <w:p w:rsidR="00B90EF8" w:rsidRPr="00B90EF8" w:rsidRDefault="00B90EF8" w:rsidP="00B90EF8">
      <w:pPr>
        <w:ind w:firstLine="708"/>
      </w:pPr>
      <w:r w:rsidRPr="00B90EF8">
        <w:t>a tyto stavy byly zaznamenány v inventurních soupisech zápisu o provedení inventarizace.</w:t>
      </w:r>
    </w:p>
    <w:p w:rsidR="00B90EF8" w:rsidRDefault="00B90EF8" w:rsidP="00B90EF8">
      <w:pPr>
        <w:spacing w:after="0" w:line="240" w:lineRule="auto"/>
      </w:pPr>
      <w:r w:rsidRPr="00B90EF8">
        <w:rPr>
          <w:b/>
          <w:bCs/>
        </w:rPr>
        <w:t xml:space="preserve">Závěr inventarizační komise: </w:t>
      </w:r>
      <w:r w:rsidRPr="00B90EF8">
        <w:t>bez závad, zjištěný stav odpovídá stavu majetku a závazků v účetnictví. Svazek v roce 20</w:t>
      </w:r>
      <w:r w:rsidR="00401D54">
        <w:t>2</w:t>
      </w:r>
      <w:r w:rsidR="009A2CB6">
        <w:t>1</w:t>
      </w:r>
      <w:r w:rsidRPr="00B90EF8">
        <w:t xml:space="preserve"> nezřídil ani nezaložil jinou právnickou osobu. DSO netvoří účelové fondy.  </w:t>
      </w:r>
    </w:p>
    <w:p w:rsidR="00F843C0" w:rsidRDefault="00F843C0" w:rsidP="00B90EF8">
      <w:pPr>
        <w:spacing w:after="0" w:line="240" w:lineRule="auto"/>
      </w:pPr>
    </w:p>
    <w:p w:rsidR="00F843C0" w:rsidRDefault="00F843C0" w:rsidP="00B90EF8">
      <w:pPr>
        <w:spacing w:after="0" w:line="240" w:lineRule="auto"/>
      </w:pPr>
      <w:r>
        <w:t>Svazek v roce 2021 nepřijal žádný úvěr, půjčku ani návratnou finanční výpomoc.</w:t>
      </w:r>
    </w:p>
    <w:p w:rsidR="007D3AE7" w:rsidRPr="00B90EF8" w:rsidRDefault="007D3AE7" w:rsidP="00B90EF8">
      <w:pPr>
        <w:spacing w:after="0" w:line="240" w:lineRule="auto"/>
      </w:pPr>
    </w:p>
    <w:p w:rsidR="00565199" w:rsidRDefault="00565199" w:rsidP="00B90E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D3AE7" w:rsidRDefault="007D3AE7" w:rsidP="00B90EF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D3AE7">
        <w:rPr>
          <w:rFonts w:ascii="Arial" w:hAnsi="Arial" w:cs="Arial"/>
          <w:b/>
          <w:sz w:val="24"/>
          <w:szCs w:val="24"/>
        </w:rPr>
        <w:t xml:space="preserve">7 – </w:t>
      </w:r>
      <w:r w:rsidRPr="007D3AE7">
        <w:rPr>
          <w:rFonts w:ascii="Arial" w:hAnsi="Arial" w:cs="Arial"/>
          <w:b/>
          <w:sz w:val="24"/>
          <w:szCs w:val="24"/>
          <w:u w:val="single"/>
        </w:rPr>
        <w:t>Projekt Komunikace obcí s</w:t>
      </w:r>
      <w:r>
        <w:rPr>
          <w:rFonts w:ascii="Arial" w:hAnsi="Arial" w:cs="Arial"/>
          <w:b/>
          <w:sz w:val="24"/>
          <w:szCs w:val="24"/>
          <w:u w:val="single"/>
        </w:rPr>
        <w:t> </w:t>
      </w:r>
      <w:r w:rsidRPr="007D3AE7">
        <w:rPr>
          <w:rFonts w:ascii="Arial" w:hAnsi="Arial" w:cs="Arial"/>
          <w:b/>
          <w:sz w:val="24"/>
          <w:szCs w:val="24"/>
          <w:u w:val="single"/>
        </w:rPr>
        <w:t>veřejností</w:t>
      </w:r>
      <w:r>
        <w:rPr>
          <w:rFonts w:ascii="Arial" w:hAnsi="Arial" w:cs="Arial"/>
          <w:b/>
          <w:sz w:val="24"/>
          <w:szCs w:val="24"/>
          <w:u w:val="single"/>
        </w:rPr>
        <w:t xml:space="preserve"> v DSO </w:t>
      </w:r>
    </w:p>
    <w:p w:rsidR="007D3AE7" w:rsidRDefault="007D3AE7" w:rsidP="00B90EF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E3834" w:rsidRDefault="005E3834" w:rsidP="005E3834">
      <w:pPr>
        <w:spacing w:after="160" w:line="254" w:lineRule="auto"/>
        <w:jc w:val="both"/>
        <w:rPr>
          <w:rFonts w:cs="Calibri"/>
          <w:lang w:eastAsia="cs-CZ"/>
        </w:rPr>
      </w:pPr>
      <w:r>
        <w:rPr>
          <w:rFonts w:cs="Calibri"/>
        </w:rPr>
        <w:t>Od 1. 4. 2021 je v realizaci projektu Komunikace obcí s veřejností v DSO Čistá Jihlava, který je zaměřen na zlepšení stavu komunikace s veřejností v rámci jednotlivých obcích i v rámci regionu DSO Čistá Jihlava. Snahou je zanalyzovat současně nastavené procesy, vytvořit společnou strategii rozvoje, zajistit moderní a kvalitní nástroje pro komunikaci a pozvednout celkovou úroveň komunikace s veřejností v území DSO Čistá Jihlava. V rámci projektu je počítáno i se společnými VA, které zajistí vyšší kvalifikaci pracovníků.</w:t>
      </w:r>
    </w:p>
    <w:p w:rsidR="005E3834" w:rsidRDefault="005E3834" w:rsidP="005E3834">
      <w:pPr>
        <w:spacing w:after="160" w:line="254" w:lineRule="auto"/>
        <w:jc w:val="both"/>
        <w:rPr>
          <w:rFonts w:cs="Calibri"/>
        </w:rPr>
      </w:pPr>
      <w:r>
        <w:rPr>
          <w:rFonts w:cs="Calibri"/>
        </w:rPr>
        <w:t xml:space="preserve">V roce 2021 probíhala především tvorba dokumentu Strategie komunikace s veřejností Sdružení obcí ČISTÁ JIHLAVA na období 2023-2030 a dílčích kapitol, tzv. auditů obcí v oblasti komunikace s veřejností. Dále pak probíhala příprava technické specifikace a zadávací dokumentace a příprava veřejné zakázky na pořízení nástrojů pro komunikaci s veřejností (elektronické úřední desky, webové stránky, mapové portály GIS a mobilní rozhlas), které jsou pořizovány v roce 2022. Taktéž probíhala příprava na vzdělávací akce spojené s projektem a příklady dobré praxe. </w:t>
      </w:r>
    </w:p>
    <w:p w:rsidR="005E3834" w:rsidRDefault="005E3834" w:rsidP="005E3834">
      <w:pPr>
        <w:spacing w:after="160" w:line="254" w:lineRule="auto"/>
        <w:jc w:val="both"/>
        <w:rPr>
          <w:rFonts w:cs="Calibri"/>
        </w:rPr>
      </w:pPr>
      <w:r>
        <w:rPr>
          <w:rFonts w:cs="Calibri"/>
        </w:rPr>
        <w:t>Vazba v roce 2021 na náklady je především na pracovníky projektu administrativní část (účetní, manažer projektu, administrativa a další) a odborná část (Odborný pracovník strategie/GIS/EÚD a Weby). Rovněž se jedná o náklady na vybavení (NTB, mobilní telefon, tiskárna), služby (telefonní služby), náklady na reprezentaci (občerstvení pro zasedání a setkávání v rámci projektu) a další náklady spojené s projektem. </w:t>
      </w:r>
    </w:p>
    <w:p w:rsidR="007D3AE7" w:rsidRDefault="007D3AE7" w:rsidP="00B90EF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24551" w:rsidRPr="004F43F2" w:rsidRDefault="00724551" w:rsidP="00B90EF8">
      <w:pPr>
        <w:spacing w:after="0" w:line="240" w:lineRule="auto"/>
      </w:pPr>
    </w:p>
    <w:p w:rsidR="000D4020" w:rsidRDefault="000D4020" w:rsidP="00B90EF8">
      <w:pPr>
        <w:spacing w:after="0" w:line="240" w:lineRule="auto"/>
        <w:rPr>
          <w:rFonts w:ascii="Arial" w:hAnsi="Arial"/>
          <w:b/>
          <w:sz w:val="24"/>
          <w:u w:val="single"/>
        </w:rPr>
      </w:pPr>
    </w:p>
    <w:p w:rsidR="000D4020" w:rsidRDefault="000D4020" w:rsidP="00B90EF8">
      <w:pPr>
        <w:spacing w:after="0" w:line="240" w:lineRule="auto"/>
        <w:rPr>
          <w:rFonts w:ascii="Arial" w:hAnsi="Arial"/>
          <w:b/>
          <w:sz w:val="24"/>
          <w:u w:val="single"/>
        </w:rPr>
      </w:pPr>
    </w:p>
    <w:tbl>
      <w:tblPr>
        <w:tblW w:w="12688" w:type="dxa"/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8292"/>
        <w:gridCol w:w="4396"/>
      </w:tblGrid>
      <w:tr w:rsidR="000D4020" w:rsidRPr="00B90EF8" w:rsidTr="000D4020">
        <w:trPr>
          <w:trHeight w:val="340"/>
        </w:trPr>
        <w:tc>
          <w:tcPr>
            <w:tcW w:w="12688" w:type="dxa"/>
            <w:gridSpan w:val="2"/>
            <w:shd w:val="clear" w:color="auto" w:fill="FFFFFF"/>
            <w:vAlign w:val="center"/>
          </w:tcPr>
          <w:p w:rsidR="000D4020" w:rsidRPr="00B90EF8" w:rsidRDefault="000D4020" w:rsidP="004F43F2">
            <w:pPr>
              <w:spacing w:after="0"/>
            </w:pPr>
            <w:r w:rsidRPr="00B90EF8">
              <w:rPr>
                <w:i/>
              </w:rPr>
              <w:t>Zpracovala:  Renata Valášková</w:t>
            </w:r>
            <w:r w:rsidRPr="00B90EF8">
              <w:t xml:space="preserve">                                       …..……….............................................</w:t>
            </w:r>
          </w:p>
        </w:tc>
      </w:tr>
      <w:tr w:rsidR="000D4020" w:rsidRPr="00B90EF8" w:rsidTr="000D4020">
        <w:trPr>
          <w:trHeight w:val="340"/>
        </w:trPr>
        <w:tc>
          <w:tcPr>
            <w:tcW w:w="12688" w:type="dxa"/>
            <w:gridSpan w:val="2"/>
            <w:shd w:val="clear" w:color="auto" w:fill="FFFFFF"/>
            <w:vAlign w:val="center"/>
          </w:tcPr>
          <w:p w:rsidR="000D4020" w:rsidRPr="00B90EF8" w:rsidRDefault="000D4020" w:rsidP="004F43F2">
            <w:pPr>
              <w:spacing w:after="0"/>
              <w:rPr>
                <w:i/>
              </w:rPr>
            </w:pPr>
            <w:r w:rsidRPr="00B90EF8">
              <w:rPr>
                <w:i/>
              </w:rPr>
              <w:t xml:space="preserve">Dne </w:t>
            </w:r>
            <w:r w:rsidR="00ED4D0E">
              <w:rPr>
                <w:i/>
              </w:rPr>
              <w:t>24</w:t>
            </w:r>
            <w:r>
              <w:rPr>
                <w:i/>
              </w:rPr>
              <w:t>. 5. 20</w:t>
            </w:r>
            <w:r w:rsidR="00ED4D0E">
              <w:rPr>
                <w:i/>
              </w:rPr>
              <w:t>2</w:t>
            </w:r>
            <w:r w:rsidR="002D1AD9">
              <w:rPr>
                <w:i/>
              </w:rPr>
              <w:t>2</w:t>
            </w:r>
          </w:p>
          <w:p w:rsidR="000D4020" w:rsidRPr="00B90EF8" w:rsidRDefault="000D4020" w:rsidP="004F43F2">
            <w:pPr>
              <w:spacing w:after="0"/>
              <w:rPr>
                <w:sz w:val="24"/>
              </w:rPr>
            </w:pPr>
          </w:p>
        </w:tc>
      </w:tr>
      <w:tr w:rsidR="000D4020" w:rsidRPr="00B90EF8" w:rsidTr="004F43F2">
        <w:trPr>
          <w:gridAfter w:val="1"/>
          <w:wAfter w:w="4396" w:type="dxa"/>
          <w:trHeight w:val="340"/>
        </w:trPr>
        <w:tc>
          <w:tcPr>
            <w:tcW w:w="8292" w:type="dxa"/>
            <w:shd w:val="clear" w:color="auto" w:fill="FFFFFF"/>
            <w:vAlign w:val="center"/>
          </w:tcPr>
          <w:p w:rsidR="000D4020" w:rsidRPr="00B90EF8" w:rsidRDefault="000D4020" w:rsidP="004F43F2">
            <w:pPr>
              <w:spacing w:after="0"/>
              <w:rPr>
                <w:b/>
                <w:sz w:val="24"/>
              </w:rPr>
            </w:pPr>
            <w:r w:rsidRPr="00B90EF8">
              <w:rPr>
                <w:b/>
                <w:sz w:val="24"/>
              </w:rPr>
              <w:t xml:space="preserve">    Statutární zástupce:  Vladimír Becha               ………………………………………………….. </w:t>
            </w:r>
          </w:p>
        </w:tc>
      </w:tr>
      <w:tr w:rsidR="000D4020" w:rsidRPr="00B90EF8" w:rsidTr="004F43F2">
        <w:trPr>
          <w:gridAfter w:val="1"/>
          <w:wAfter w:w="4396" w:type="dxa"/>
          <w:trHeight w:val="340"/>
        </w:trPr>
        <w:tc>
          <w:tcPr>
            <w:tcW w:w="8292" w:type="dxa"/>
            <w:shd w:val="clear" w:color="auto" w:fill="FFFFFF"/>
            <w:vAlign w:val="center"/>
          </w:tcPr>
          <w:p w:rsidR="000D4020" w:rsidRPr="00B90EF8" w:rsidRDefault="000D4020" w:rsidP="004F43F2">
            <w:pPr>
              <w:spacing w:after="0"/>
              <w:rPr>
                <w:b/>
                <w:sz w:val="24"/>
              </w:rPr>
            </w:pPr>
            <w:r w:rsidRPr="00B90EF8">
              <w:rPr>
                <w:b/>
                <w:sz w:val="24"/>
              </w:rPr>
              <w:t xml:space="preserve"> </w:t>
            </w:r>
          </w:p>
          <w:p w:rsidR="000D4020" w:rsidRPr="00B90EF8" w:rsidRDefault="000D4020" w:rsidP="004F43F2">
            <w:pPr>
              <w:spacing w:after="0"/>
              <w:rPr>
                <w:b/>
                <w:sz w:val="24"/>
              </w:rPr>
            </w:pPr>
            <w:r w:rsidRPr="00B90EF8">
              <w:rPr>
                <w:b/>
                <w:sz w:val="24"/>
              </w:rPr>
              <w:t xml:space="preserve">    Razítko organizace:</w:t>
            </w:r>
          </w:p>
        </w:tc>
      </w:tr>
    </w:tbl>
    <w:p w:rsidR="000D4020" w:rsidRDefault="000D4020" w:rsidP="00B90EF8">
      <w:pPr>
        <w:spacing w:after="0" w:line="240" w:lineRule="auto"/>
        <w:rPr>
          <w:rFonts w:ascii="Arial" w:hAnsi="Arial"/>
          <w:b/>
          <w:sz w:val="24"/>
          <w:u w:val="single"/>
        </w:rPr>
      </w:pPr>
    </w:p>
    <w:p w:rsidR="000D4020" w:rsidRDefault="000D4020" w:rsidP="00B90EF8">
      <w:pPr>
        <w:spacing w:after="0" w:line="240" w:lineRule="auto"/>
        <w:rPr>
          <w:rFonts w:ascii="Arial" w:hAnsi="Arial"/>
          <w:b/>
          <w:sz w:val="24"/>
          <w:u w:val="single"/>
        </w:rPr>
      </w:pPr>
    </w:p>
    <w:p w:rsidR="000D4020" w:rsidRDefault="000D4020" w:rsidP="00B90EF8">
      <w:pPr>
        <w:spacing w:after="0" w:line="240" w:lineRule="auto"/>
        <w:rPr>
          <w:rFonts w:ascii="Arial" w:hAnsi="Arial"/>
          <w:b/>
          <w:sz w:val="24"/>
          <w:u w:val="single"/>
        </w:rPr>
      </w:pPr>
    </w:p>
    <w:p w:rsidR="00B90EF8" w:rsidRPr="00B90EF8" w:rsidRDefault="00B90EF8" w:rsidP="00B90EF8">
      <w:pPr>
        <w:spacing w:after="0"/>
      </w:pPr>
      <w:r w:rsidRPr="00B90EF8">
        <w:t>Přílohy závěrečného účtu:</w:t>
      </w:r>
    </w:p>
    <w:p w:rsidR="00B90EF8" w:rsidRPr="00B90EF8" w:rsidRDefault="00B90EF8" w:rsidP="00B90EF8">
      <w:pPr>
        <w:numPr>
          <w:ilvl w:val="0"/>
          <w:numId w:val="5"/>
        </w:numPr>
        <w:spacing w:after="0"/>
      </w:pPr>
      <w:r w:rsidRPr="00B90EF8">
        <w:t>Výkaz FIN 2-12 ke dni 31.12.20</w:t>
      </w:r>
      <w:r w:rsidR="00850F85">
        <w:t>2</w:t>
      </w:r>
      <w:r w:rsidR="00ED4D0E">
        <w:t>1</w:t>
      </w:r>
    </w:p>
    <w:p w:rsidR="00B90EF8" w:rsidRPr="00B90EF8" w:rsidRDefault="00B90EF8" w:rsidP="00B90EF8">
      <w:pPr>
        <w:numPr>
          <w:ilvl w:val="0"/>
          <w:numId w:val="5"/>
        </w:numPr>
        <w:spacing w:after="0"/>
      </w:pPr>
      <w:r w:rsidRPr="00B90EF8">
        <w:t>Tabulka finančního vypořádání za 20</w:t>
      </w:r>
      <w:r w:rsidR="00850F85">
        <w:t>2</w:t>
      </w:r>
      <w:r w:rsidR="00ED4D0E">
        <w:t>1</w:t>
      </w:r>
      <w:r w:rsidR="00850F85">
        <w:t xml:space="preserve"> -</w:t>
      </w:r>
      <w:r w:rsidRPr="00B90EF8">
        <w:t xml:space="preserve"> přehled úvěrů, půjček a návratných finančních výpomocí</w:t>
      </w:r>
    </w:p>
    <w:p w:rsidR="00B90EF8" w:rsidRPr="00B90EF8" w:rsidRDefault="00B90EF8" w:rsidP="00B90EF8">
      <w:pPr>
        <w:numPr>
          <w:ilvl w:val="0"/>
          <w:numId w:val="5"/>
        </w:numPr>
        <w:spacing w:after="0"/>
      </w:pPr>
      <w:r w:rsidRPr="00B90EF8">
        <w:t>Zpráva o výsledku přezkoumání hospodaření za rok 20</w:t>
      </w:r>
      <w:r w:rsidR="00850F85">
        <w:t>2</w:t>
      </w:r>
      <w:r w:rsidR="00ED4D0E">
        <w:t>1</w:t>
      </w:r>
    </w:p>
    <w:p w:rsidR="00565199" w:rsidRDefault="00B90EF8" w:rsidP="00B90EF8">
      <w:pPr>
        <w:numPr>
          <w:ilvl w:val="0"/>
          <w:numId w:val="5"/>
        </w:numPr>
        <w:spacing w:after="0"/>
      </w:pPr>
      <w:r w:rsidRPr="00B90EF8">
        <w:t>Rozvaha ke dni 31.12.20</w:t>
      </w:r>
      <w:r w:rsidR="00850F85">
        <w:t>2</w:t>
      </w:r>
      <w:r w:rsidR="00ED4D0E">
        <w:t>1</w:t>
      </w:r>
    </w:p>
    <w:p w:rsidR="00B90EF8" w:rsidRPr="00B90EF8" w:rsidRDefault="00565199" w:rsidP="00B90EF8">
      <w:pPr>
        <w:numPr>
          <w:ilvl w:val="0"/>
          <w:numId w:val="5"/>
        </w:numPr>
        <w:spacing w:after="0"/>
      </w:pPr>
      <w:r>
        <w:t>V</w:t>
      </w:r>
      <w:r w:rsidR="00850F85">
        <w:t>ýkaz zisku a ztráty ke dni 31.12.202</w:t>
      </w:r>
      <w:r w:rsidR="00ED4D0E">
        <w:t>1</w:t>
      </w:r>
    </w:p>
    <w:p w:rsidR="00B90EF8" w:rsidRPr="00B90EF8" w:rsidRDefault="00B90EF8" w:rsidP="00B90EF8">
      <w:pPr>
        <w:numPr>
          <w:ilvl w:val="0"/>
          <w:numId w:val="5"/>
        </w:numPr>
        <w:spacing w:after="0"/>
      </w:pPr>
      <w:r w:rsidRPr="00B90EF8">
        <w:t>Inventarizační z</w:t>
      </w:r>
      <w:r w:rsidR="000F32C6">
        <w:t>práva</w:t>
      </w:r>
      <w:r w:rsidRPr="00B90EF8">
        <w:t xml:space="preserve"> za rok 20</w:t>
      </w:r>
      <w:r w:rsidR="00850F85">
        <w:t>2</w:t>
      </w:r>
      <w:r w:rsidR="00ED4D0E">
        <w:t>1</w:t>
      </w:r>
    </w:p>
    <w:tbl>
      <w:tblPr>
        <w:tblW w:w="12688" w:type="dxa"/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8292"/>
        <w:gridCol w:w="4396"/>
      </w:tblGrid>
      <w:tr w:rsidR="00B90EF8" w:rsidRPr="00B90EF8" w:rsidTr="004F43F2">
        <w:trPr>
          <w:trHeight w:val="340"/>
        </w:trPr>
        <w:tc>
          <w:tcPr>
            <w:tcW w:w="12476" w:type="dxa"/>
            <w:gridSpan w:val="2"/>
            <w:shd w:val="clear" w:color="auto" w:fill="FFFFFF"/>
            <w:vAlign w:val="center"/>
          </w:tcPr>
          <w:p w:rsidR="00B90EF8" w:rsidRPr="00B90EF8" w:rsidRDefault="00B90EF8" w:rsidP="00B90EF8">
            <w:pPr>
              <w:spacing w:after="0"/>
            </w:pPr>
          </w:p>
        </w:tc>
      </w:tr>
      <w:tr w:rsidR="00B90EF8" w:rsidRPr="00B90EF8" w:rsidTr="004F43F2">
        <w:trPr>
          <w:trHeight w:val="340"/>
        </w:trPr>
        <w:tc>
          <w:tcPr>
            <w:tcW w:w="12476" w:type="dxa"/>
            <w:gridSpan w:val="2"/>
            <w:shd w:val="clear" w:color="auto" w:fill="FFFFFF"/>
            <w:vAlign w:val="center"/>
          </w:tcPr>
          <w:p w:rsidR="00B90EF8" w:rsidRPr="00B90EF8" w:rsidRDefault="00B90EF8" w:rsidP="00B90EF8">
            <w:pPr>
              <w:spacing w:after="0"/>
              <w:rPr>
                <w:sz w:val="24"/>
              </w:rPr>
            </w:pPr>
          </w:p>
        </w:tc>
      </w:tr>
      <w:tr w:rsidR="00B90EF8" w:rsidRPr="00B90EF8" w:rsidTr="004F43F2">
        <w:trPr>
          <w:gridAfter w:val="1"/>
          <w:wAfter w:w="4396" w:type="dxa"/>
          <w:trHeight w:val="340"/>
        </w:trPr>
        <w:tc>
          <w:tcPr>
            <w:tcW w:w="8292" w:type="dxa"/>
            <w:shd w:val="clear" w:color="auto" w:fill="FFFFFF"/>
            <w:vAlign w:val="center"/>
          </w:tcPr>
          <w:p w:rsidR="00B90EF8" w:rsidRPr="00B90EF8" w:rsidRDefault="00B90EF8" w:rsidP="00B90EF8">
            <w:pPr>
              <w:spacing w:after="0"/>
              <w:rPr>
                <w:b/>
                <w:sz w:val="24"/>
              </w:rPr>
            </w:pPr>
          </w:p>
        </w:tc>
      </w:tr>
      <w:tr w:rsidR="00B90EF8" w:rsidRPr="00B90EF8" w:rsidTr="004F43F2">
        <w:trPr>
          <w:gridAfter w:val="1"/>
          <w:wAfter w:w="4396" w:type="dxa"/>
          <w:trHeight w:val="340"/>
        </w:trPr>
        <w:tc>
          <w:tcPr>
            <w:tcW w:w="8292" w:type="dxa"/>
            <w:shd w:val="clear" w:color="auto" w:fill="FFFFFF"/>
            <w:vAlign w:val="center"/>
          </w:tcPr>
          <w:p w:rsidR="00B90EF8" w:rsidRPr="00B90EF8" w:rsidRDefault="00B90EF8" w:rsidP="00B90EF8">
            <w:pPr>
              <w:spacing w:after="0"/>
              <w:rPr>
                <w:b/>
                <w:sz w:val="24"/>
              </w:rPr>
            </w:pPr>
          </w:p>
        </w:tc>
      </w:tr>
    </w:tbl>
    <w:p w:rsidR="00940551" w:rsidRPr="004F43F2" w:rsidRDefault="00940551" w:rsidP="004A28EA">
      <w:pPr>
        <w:rPr>
          <w:rFonts w:cs="Calibri"/>
        </w:rPr>
      </w:pPr>
    </w:p>
    <w:p w:rsidR="00B90EF8" w:rsidRPr="00B90EF8" w:rsidRDefault="00B90EF8" w:rsidP="00B90EF8">
      <w:r w:rsidRPr="00B90EF8">
        <w:t>Pro členské obce:</w:t>
      </w:r>
    </w:p>
    <w:p w:rsidR="00B90EF8" w:rsidRPr="00B90EF8" w:rsidRDefault="00B90EF8" w:rsidP="00B90EF8">
      <w:r w:rsidRPr="00B90EF8">
        <w:t>Svým podpisem potvrzuji, že v níže uvedeném období byl závěrečný účet vyvěšen na úřední desce, včetně výsledku</w:t>
      </w:r>
      <w:r w:rsidR="00AA72F9">
        <w:t xml:space="preserve"> </w:t>
      </w:r>
      <w:r w:rsidRPr="00B90EF8">
        <w:t>přezkoumání hospodaření za rok 20</w:t>
      </w:r>
      <w:r w:rsidR="001A2E4D">
        <w:t>2</w:t>
      </w:r>
      <w:r w:rsidR="00ED4D0E">
        <w:t>1</w:t>
      </w:r>
      <w:r w:rsidRPr="00B90EF8">
        <w:t>. Ve stejném období byl závěrečný účet, včetně zprávy o  přezkoumání hospodaření za rok 20</w:t>
      </w:r>
      <w:r w:rsidR="001A2E4D">
        <w:t>2</w:t>
      </w:r>
      <w:r w:rsidR="00ED4D0E">
        <w:t>1</w:t>
      </w:r>
      <w:r w:rsidR="001A2E4D">
        <w:t xml:space="preserve"> </w:t>
      </w:r>
      <w:r w:rsidRPr="00B90EF8">
        <w:t xml:space="preserve">a </w:t>
      </w:r>
      <w:r w:rsidR="001A2E4D">
        <w:t xml:space="preserve">i </w:t>
      </w:r>
      <w:r w:rsidRPr="00B90EF8">
        <w:t xml:space="preserve">ostatních příloh, vyvěšen i na elektronické úřední desce. </w:t>
      </w:r>
    </w:p>
    <w:p w:rsidR="00B90EF8" w:rsidRPr="00B90EF8" w:rsidRDefault="00B90EF8" w:rsidP="00B90EF8">
      <w:pPr>
        <w:spacing w:after="0"/>
      </w:pPr>
    </w:p>
    <w:p w:rsidR="00B90EF8" w:rsidRPr="00B90EF8" w:rsidRDefault="00B90EF8" w:rsidP="00B90EF8">
      <w:pPr>
        <w:spacing w:after="0"/>
      </w:pPr>
    </w:p>
    <w:p w:rsidR="00B90EF8" w:rsidRPr="00B90EF8" w:rsidRDefault="00B90EF8" w:rsidP="00B90EF8">
      <w:pPr>
        <w:spacing w:after="0"/>
      </w:pPr>
      <w:r w:rsidRPr="00B90EF8">
        <w:t>Vyvěšeno dne:</w:t>
      </w:r>
      <w:r w:rsidRPr="00B90EF8">
        <w:tab/>
      </w:r>
      <w:r w:rsidR="00BE3D38">
        <w:tab/>
        <w:t>30.</w:t>
      </w:r>
      <w:r w:rsidR="002D1AD9">
        <w:t xml:space="preserve"> </w:t>
      </w:r>
      <w:r w:rsidR="00BE3D38">
        <w:t>5.</w:t>
      </w:r>
      <w:r w:rsidR="002D1AD9">
        <w:t xml:space="preserve"> </w:t>
      </w:r>
      <w:r w:rsidR="00BE3D38">
        <w:t>2022</w:t>
      </w:r>
      <w:r w:rsidRPr="00B90EF8">
        <w:tab/>
      </w:r>
      <w:r w:rsidRPr="00B90EF8">
        <w:tab/>
      </w:r>
      <w:r w:rsidRPr="00B90EF8">
        <w:tab/>
        <w:t xml:space="preserve">        Sejmuto dne: </w:t>
      </w:r>
      <w:r w:rsidRPr="00B90EF8">
        <w:tab/>
      </w:r>
      <w:r w:rsidR="00BE3D38">
        <w:t>22.</w:t>
      </w:r>
      <w:r w:rsidR="002D1AD9">
        <w:t xml:space="preserve"> </w:t>
      </w:r>
      <w:r w:rsidR="00BE3D38">
        <w:t>6.</w:t>
      </w:r>
      <w:r w:rsidR="002D1AD9">
        <w:t xml:space="preserve"> </w:t>
      </w:r>
      <w:r w:rsidR="00BE3D38">
        <w:t>2022</w:t>
      </w:r>
    </w:p>
    <w:p w:rsidR="00B90EF8" w:rsidRPr="00B90EF8" w:rsidRDefault="00B90EF8" w:rsidP="00B90EF8">
      <w:pPr>
        <w:spacing w:after="0"/>
        <w:rPr>
          <w:rFonts w:cs="Calibri"/>
        </w:rPr>
      </w:pPr>
    </w:p>
    <w:p w:rsidR="00B90EF8" w:rsidRDefault="00B90EF8" w:rsidP="004A28EA">
      <w:pPr>
        <w:rPr>
          <w:rFonts w:cs="Calibri"/>
        </w:rPr>
      </w:pPr>
    </w:p>
    <w:p w:rsidR="00BE3D38" w:rsidRDefault="00BE3D38" w:rsidP="004A28EA">
      <w:pPr>
        <w:rPr>
          <w:rFonts w:cs="Calibri"/>
        </w:rPr>
      </w:pPr>
    </w:p>
    <w:p w:rsidR="00BE3D38" w:rsidRDefault="00BE3D38" w:rsidP="004A28EA">
      <w:pPr>
        <w:rPr>
          <w:rFonts w:cs="Calibri"/>
        </w:rPr>
      </w:pPr>
    </w:p>
    <w:p w:rsidR="00BE3D38" w:rsidRDefault="00BE3D38" w:rsidP="00BE3D38">
      <w:pPr>
        <w:rPr>
          <w:rFonts w:cs="Calibri"/>
        </w:rPr>
      </w:pPr>
      <w:r>
        <w:rPr>
          <w:rFonts w:cs="Calibri"/>
        </w:rPr>
        <w:t>Návrh Závěrečného účtu DSO Čistá Jihlava za rok 2021 byl vyvěšen na úřední desce svazku od 30. 5. 2022 – 22. 6. 2022 a byl schválen na shromáždění starostů dne 21. 6. 2022 usnesením č. 3/2-2022.</w:t>
      </w:r>
    </w:p>
    <w:p w:rsidR="00BE3D38" w:rsidRDefault="00BE3D38" w:rsidP="004A28EA">
      <w:pPr>
        <w:rPr>
          <w:rFonts w:cs="Calibri"/>
        </w:rPr>
      </w:pPr>
    </w:p>
    <w:p w:rsidR="00C52D85" w:rsidRDefault="00C52D85" w:rsidP="004A28EA">
      <w:pPr>
        <w:rPr>
          <w:rFonts w:cs="Calibri"/>
        </w:rPr>
      </w:pPr>
    </w:p>
    <w:p w:rsidR="00C52D85" w:rsidRPr="004F43F2" w:rsidRDefault="00C52D85" w:rsidP="004A28EA">
      <w:pPr>
        <w:rPr>
          <w:rFonts w:cs="Calibri"/>
        </w:rPr>
      </w:pPr>
    </w:p>
    <w:sectPr w:rsidR="00C52D85" w:rsidRPr="004F43F2" w:rsidSect="009F26E9">
      <w:headerReference w:type="default" r:id="rId17"/>
      <w:footerReference w:type="default" r:id="rId18"/>
      <w:pgSz w:w="11906" w:h="16838"/>
      <w:pgMar w:top="567" w:right="991" w:bottom="567" w:left="85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B81" w:rsidRDefault="00FA4B81" w:rsidP="004D7661">
      <w:pPr>
        <w:spacing w:after="0" w:line="240" w:lineRule="auto"/>
      </w:pPr>
      <w:r>
        <w:separator/>
      </w:r>
    </w:p>
  </w:endnote>
  <w:endnote w:type="continuationSeparator" w:id="0">
    <w:p w:rsidR="00FA4B81" w:rsidRDefault="00FA4B81" w:rsidP="004D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11C" w:rsidRDefault="00CB4699" w:rsidP="00CB4699">
    <w:pPr>
      <w:pBdr>
        <w:top w:val="single" w:sz="4" w:space="1" w:color="auto"/>
      </w:pBdr>
      <w:tabs>
        <w:tab w:val="center" w:pos="5386"/>
        <w:tab w:val="right" w:pos="10772"/>
      </w:tabs>
    </w:pPr>
    <w:r>
      <w:t>KEO-W 1.11.60</w:t>
    </w:r>
    <w:r>
      <w:tab/>
    </w:r>
    <w:r>
      <w:tab/>
    </w:r>
    <w:r w:rsidR="00FC611C">
      <w:t xml:space="preserve">Strana </w:t>
    </w:r>
    <w:fldSimple w:instr=" PAGE ">
      <w:r w:rsidR="001C3583">
        <w:rPr>
          <w:noProof/>
        </w:rPr>
        <w:t>1</w:t>
      </w:r>
    </w:fldSimple>
    <w:r w:rsidR="00FC611C">
      <w:t>/</w:t>
    </w:r>
    <w:fldSimple w:instr=" NUMPAGES  ">
      <w:r w:rsidR="001C3583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B81" w:rsidRDefault="00FA4B81" w:rsidP="004D7661">
      <w:pPr>
        <w:spacing w:after="0" w:line="240" w:lineRule="auto"/>
      </w:pPr>
      <w:r>
        <w:separator/>
      </w:r>
    </w:p>
  </w:footnote>
  <w:footnote w:type="continuationSeparator" w:id="0">
    <w:p w:rsidR="00FA4B81" w:rsidRDefault="00FA4B81" w:rsidP="004D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11C" w:rsidRDefault="00CB4699" w:rsidP="00CB4699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386"/>
        <w:tab w:val="right" w:pos="10772"/>
      </w:tabs>
    </w:pPr>
    <w:r>
      <w:t>Sdružení obcí Čistá Jihlava</w:t>
    </w:r>
    <w:r>
      <w:tab/>
    </w:r>
    <w:r w:rsidR="00676006">
      <w:t xml:space="preserve">                                                                                   </w:t>
    </w:r>
    <w:r w:rsidR="00F3262B">
      <w:t xml:space="preserve"> </w:t>
    </w:r>
    <w:r w:rsidR="00676006">
      <w:t xml:space="preserve"> </w:t>
    </w:r>
    <w:r w:rsidR="00BE3D38">
      <w:t>Schválený</w:t>
    </w:r>
    <w:r w:rsidR="00357533">
      <w:t xml:space="preserve"> - </w:t>
    </w:r>
    <w:r w:rsidR="00FB49F7">
      <w:t xml:space="preserve">Závěrečný účet </w:t>
    </w:r>
    <w:r>
      <w:t>za rok 20</w:t>
    </w:r>
    <w:r w:rsidR="007B21F6">
      <w:t>2</w:t>
    </w:r>
    <w:r w:rsidR="004A087B"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1524"/>
    <w:multiLevelType w:val="hybridMultilevel"/>
    <w:tmpl w:val="45900BC0"/>
    <w:lvl w:ilvl="0" w:tplc="3634C9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51318"/>
    <w:multiLevelType w:val="hybridMultilevel"/>
    <w:tmpl w:val="C8806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11655"/>
    <w:multiLevelType w:val="hybridMultilevel"/>
    <w:tmpl w:val="7A8828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23BC7"/>
    <w:multiLevelType w:val="hybridMultilevel"/>
    <w:tmpl w:val="CA301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B684F"/>
    <w:multiLevelType w:val="hybridMultilevel"/>
    <w:tmpl w:val="BA0C1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C1F34"/>
    <w:rsid w:val="00010AF2"/>
    <w:rsid w:val="000179B1"/>
    <w:rsid w:val="00023384"/>
    <w:rsid w:val="000233BD"/>
    <w:rsid w:val="00030235"/>
    <w:rsid w:val="000345AE"/>
    <w:rsid w:val="00037985"/>
    <w:rsid w:val="000420E4"/>
    <w:rsid w:val="0004234C"/>
    <w:rsid w:val="00051241"/>
    <w:rsid w:val="00057299"/>
    <w:rsid w:val="00062BCD"/>
    <w:rsid w:val="00063128"/>
    <w:rsid w:val="00067A95"/>
    <w:rsid w:val="000777E6"/>
    <w:rsid w:val="000811D1"/>
    <w:rsid w:val="00084D7A"/>
    <w:rsid w:val="00092ED1"/>
    <w:rsid w:val="00094A1D"/>
    <w:rsid w:val="00096043"/>
    <w:rsid w:val="000A6FD6"/>
    <w:rsid w:val="000B310A"/>
    <w:rsid w:val="000B3E4E"/>
    <w:rsid w:val="000B5228"/>
    <w:rsid w:val="000B58A3"/>
    <w:rsid w:val="000C6FC8"/>
    <w:rsid w:val="000C7CF5"/>
    <w:rsid w:val="000D0089"/>
    <w:rsid w:val="000D4020"/>
    <w:rsid w:val="000D6AD9"/>
    <w:rsid w:val="000E165A"/>
    <w:rsid w:val="000E17A8"/>
    <w:rsid w:val="000F32C6"/>
    <w:rsid w:val="0010056C"/>
    <w:rsid w:val="00102111"/>
    <w:rsid w:val="001054FD"/>
    <w:rsid w:val="00105B92"/>
    <w:rsid w:val="00106D61"/>
    <w:rsid w:val="00115A6A"/>
    <w:rsid w:val="00124096"/>
    <w:rsid w:val="00131976"/>
    <w:rsid w:val="00137B06"/>
    <w:rsid w:val="00143742"/>
    <w:rsid w:val="00143B35"/>
    <w:rsid w:val="00144F61"/>
    <w:rsid w:val="00146CC9"/>
    <w:rsid w:val="00150F20"/>
    <w:rsid w:val="00151F7B"/>
    <w:rsid w:val="0015382F"/>
    <w:rsid w:val="00153C38"/>
    <w:rsid w:val="00155974"/>
    <w:rsid w:val="00160807"/>
    <w:rsid w:val="00163F1A"/>
    <w:rsid w:val="00167453"/>
    <w:rsid w:val="00177223"/>
    <w:rsid w:val="00191C61"/>
    <w:rsid w:val="001A134B"/>
    <w:rsid w:val="001A2E4D"/>
    <w:rsid w:val="001A6D29"/>
    <w:rsid w:val="001B0AF0"/>
    <w:rsid w:val="001B3AA5"/>
    <w:rsid w:val="001C1E50"/>
    <w:rsid w:val="001C3577"/>
    <w:rsid w:val="001C3583"/>
    <w:rsid w:val="001D13E7"/>
    <w:rsid w:val="001D69F5"/>
    <w:rsid w:val="001D7E4F"/>
    <w:rsid w:val="001E1183"/>
    <w:rsid w:val="001E3574"/>
    <w:rsid w:val="001E65E2"/>
    <w:rsid w:val="001F0C3A"/>
    <w:rsid w:val="001F36DB"/>
    <w:rsid w:val="001F4C48"/>
    <w:rsid w:val="002006D0"/>
    <w:rsid w:val="002114D1"/>
    <w:rsid w:val="00211901"/>
    <w:rsid w:val="00212542"/>
    <w:rsid w:val="0021679D"/>
    <w:rsid w:val="00222441"/>
    <w:rsid w:val="00222B91"/>
    <w:rsid w:val="00224923"/>
    <w:rsid w:val="00234028"/>
    <w:rsid w:val="00235B8F"/>
    <w:rsid w:val="002373E5"/>
    <w:rsid w:val="0024238B"/>
    <w:rsid w:val="002520A7"/>
    <w:rsid w:val="0025227A"/>
    <w:rsid w:val="00262D78"/>
    <w:rsid w:val="0026673A"/>
    <w:rsid w:val="00271331"/>
    <w:rsid w:val="00272650"/>
    <w:rsid w:val="00273C19"/>
    <w:rsid w:val="00282619"/>
    <w:rsid w:val="002832CE"/>
    <w:rsid w:val="0028366F"/>
    <w:rsid w:val="002849ED"/>
    <w:rsid w:val="00286496"/>
    <w:rsid w:val="002A13D3"/>
    <w:rsid w:val="002A4122"/>
    <w:rsid w:val="002B0060"/>
    <w:rsid w:val="002B0E24"/>
    <w:rsid w:val="002B5B75"/>
    <w:rsid w:val="002B5C10"/>
    <w:rsid w:val="002C55FB"/>
    <w:rsid w:val="002D1AD9"/>
    <w:rsid w:val="002D6A85"/>
    <w:rsid w:val="00300C3B"/>
    <w:rsid w:val="00303BD9"/>
    <w:rsid w:val="00307FD3"/>
    <w:rsid w:val="00310887"/>
    <w:rsid w:val="00313459"/>
    <w:rsid w:val="0031466E"/>
    <w:rsid w:val="00322728"/>
    <w:rsid w:val="00322906"/>
    <w:rsid w:val="00325419"/>
    <w:rsid w:val="00330449"/>
    <w:rsid w:val="00330E78"/>
    <w:rsid w:val="003314BC"/>
    <w:rsid w:val="003334AF"/>
    <w:rsid w:val="00335772"/>
    <w:rsid w:val="00340A0D"/>
    <w:rsid w:val="00350F53"/>
    <w:rsid w:val="003526D4"/>
    <w:rsid w:val="00357533"/>
    <w:rsid w:val="0036558A"/>
    <w:rsid w:val="003808D8"/>
    <w:rsid w:val="0038286E"/>
    <w:rsid w:val="0039665A"/>
    <w:rsid w:val="0039759A"/>
    <w:rsid w:val="003A109D"/>
    <w:rsid w:val="003B661C"/>
    <w:rsid w:val="003B6792"/>
    <w:rsid w:val="003B76F8"/>
    <w:rsid w:val="003C2148"/>
    <w:rsid w:val="003C764B"/>
    <w:rsid w:val="003D395E"/>
    <w:rsid w:val="003D4808"/>
    <w:rsid w:val="003D4C4C"/>
    <w:rsid w:val="003D596B"/>
    <w:rsid w:val="003D5F21"/>
    <w:rsid w:val="003D6133"/>
    <w:rsid w:val="003E0AC8"/>
    <w:rsid w:val="003E2918"/>
    <w:rsid w:val="003E505F"/>
    <w:rsid w:val="003E6566"/>
    <w:rsid w:val="003E77F2"/>
    <w:rsid w:val="003F0B18"/>
    <w:rsid w:val="003F73A7"/>
    <w:rsid w:val="00401D54"/>
    <w:rsid w:val="00404333"/>
    <w:rsid w:val="00410565"/>
    <w:rsid w:val="00415444"/>
    <w:rsid w:val="00415CAC"/>
    <w:rsid w:val="00426AFD"/>
    <w:rsid w:val="0042714E"/>
    <w:rsid w:val="00432AEF"/>
    <w:rsid w:val="00433F08"/>
    <w:rsid w:val="004369CE"/>
    <w:rsid w:val="00442F67"/>
    <w:rsid w:val="004453FF"/>
    <w:rsid w:val="00446972"/>
    <w:rsid w:val="004510BE"/>
    <w:rsid w:val="00456933"/>
    <w:rsid w:val="00462EE5"/>
    <w:rsid w:val="00475445"/>
    <w:rsid w:val="00491372"/>
    <w:rsid w:val="00491F10"/>
    <w:rsid w:val="00493C06"/>
    <w:rsid w:val="00495536"/>
    <w:rsid w:val="004958EE"/>
    <w:rsid w:val="0049657D"/>
    <w:rsid w:val="004A087B"/>
    <w:rsid w:val="004A13B6"/>
    <w:rsid w:val="004A28EA"/>
    <w:rsid w:val="004A68C4"/>
    <w:rsid w:val="004B17C2"/>
    <w:rsid w:val="004B1B0B"/>
    <w:rsid w:val="004C0448"/>
    <w:rsid w:val="004C396C"/>
    <w:rsid w:val="004C4892"/>
    <w:rsid w:val="004C6DE6"/>
    <w:rsid w:val="004C7395"/>
    <w:rsid w:val="004D7661"/>
    <w:rsid w:val="004E13CD"/>
    <w:rsid w:val="004E1B1F"/>
    <w:rsid w:val="004E4DAB"/>
    <w:rsid w:val="004E5105"/>
    <w:rsid w:val="004F2852"/>
    <w:rsid w:val="004F341F"/>
    <w:rsid w:val="004F43F2"/>
    <w:rsid w:val="004F5335"/>
    <w:rsid w:val="005242AD"/>
    <w:rsid w:val="005246EC"/>
    <w:rsid w:val="00525134"/>
    <w:rsid w:val="0052714A"/>
    <w:rsid w:val="00527EDB"/>
    <w:rsid w:val="005308D7"/>
    <w:rsid w:val="005323C3"/>
    <w:rsid w:val="0055754A"/>
    <w:rsid w:val="00562867"/>
    <w:rsid w:val="00563447"/>
    <w:rsid w:val="00565199"/>
    <w:rsid w:val="00565B5D"/>
    <w:rsid w:val="00567A24"/>
    <w:rsid w:val="00586E7F"/>
    <w:rsid w:val="00591618"/>
    <w:rsid w:val="005A1A17"/>
    <w:rsid w:val="005A28B3"/>
    <w:rsid w:val="005A75AE"/>
    <w:rsid w:val="005B5A04"/>
    <w:rsid w:val="005C4805"/>
    <w:rsid w:val="005C54D4"/>
    <w:rsid w:val="005D21CF"/>
    <w:rsid w:val="005D47DC"/>
    <w:rsid w:val="005D664F"/>
    <w:rsid w:val="005E3834"/>
    <w:rsid w:val="005E6CA3"/>
    <w:rsid w:val="005E78D8"/>
    <w:rsid w:val="005E7BE5"/>
    <w:rsid w:val="005F35A7"/>
    <w:rsid w:val="005F445B"/>
    <w:rsid w:val="005F4DC7"/>
    <w:rsid w:val="005F68F0"/>
    <w:rsid w:val="005F73B4"/>
    <w:rsid w:val="00602E1A"/>
    <w:rsid w:val="00612292"/>
    <w:rsid w:val="0061376E"/>
    <w:rsid w:val="0061576A"/>
    <w:rsid w:val="00617FE9"/>
    <w:rsid w:val="00620C73"/>
    <w:rsid w:val="00625BA9"/>
    <w:rsid w:val="0062655A"/>
    <w:rsid w:val="006309CE"/>
    <w:rsid w:val="00631F6A"/>
    <w:rsid w:val="00634DCB"/>
    <w:rsid w:val="0063630B"/>
    <w:rsid w:val="00644ECB"/>
    <w:rsid w:val="0064595D"/>
    <w:rsid w:val="0066739E"/>
    <w:rsid w:val="0067495A"/>
    <w:rsid w:val="00676006"/>
    <w:rsid w:val="006868E1"/>
    <w:rsid w:val="00690330"/>
    <w:rsid w:val="00693859"/>
    <w:rsid w:val="006A131B"/>
    <w:rsid w:val="006A5468"/>
    <w:rsid w:val="006B6CFD"/>
    <w:rsid w:val="006C229E"/>
    <w:rsid w:val="006C3062"/>
    <w:rsid w:val="006E5C7B"/>
    <w:rsid w:val="006E7A2C"/>
    <w:rsid w:val="006F6CB7"/>
    <w:rsid w:val="00711568"/>
    <w:rsid w:val="007119F8"/>
    <w:rsid w:val="0071488E"/>
    <w:rsid w:val="00720176"/>
    <w:rsid w:val="00724551"/>
    <w:rsid w:val="00731B0F"/>
    <w:rsid w:val="007321A6"/>
    <w:rsid w:val="0073695F"/>
    <w:rsid w:val="00736F7A"/>
    <w:rsid w:val="0074310D"/>
    <w:rsid w:val="00744D0D"/>
    <w:rsid w:val="00745393"/>
    <w:rsid w:val="00746045"/>
    <w:rsid w:val="00764102"/>
    <w:rsid w:val="007764A6"/>
    <w:rsid w:val="00780346"/>
    <w:rsid w:val="00782816"/>
    <w:rsid w:val="0078643D"/>
    <w:rsid w:val="00792073"/>
    <w:rsid w:val="00796C2C"/>
    <w:rsid w:val="007A3EC9"/>
    <w:rsid w:val="007A4A6C"/>
    <w:rsid w:val="007B21F6"/>
    <w:rsid w:val="007B23EA"/>
    <w:rsid w:val="007B7E2A"/>
    <w:rsid w:val="007C5553"/>
    <w:rsid w:val="007D08C6"/>
    <w:rsid w:val="007D3AE7"/>
    <w:rsid w:val="007D7825"/>
    <w:rsid w:val="007E0C61"/>
    <w:rsid w:val="007E1EEE"/>
    <w:rsid w:val="007E3317"/>
    <w:rsid w:val="007F7B6E"/>
    <w:rsid w:val="007F7C08"/>
    <w:rsid w:val="0080331D"/>
    <w:rsid w:val="00805F22"/>
    <w:rsid w:val="00817CDB"/>
    <w:rsid w:val="008209ED"/>
    <w:rsid w:val="0082173E"/>
    <w:rsid w:val="008221DA"/>
    <w:rsid w:val="008227B3"/>
    <w:rsid w:val="00823E40"/>
    <w:rsid w:val="0082463D"/>
    <w:rsid w:val="00824BAD"/>
    <w:rsid w:val="00825BA8"/>
    <w:rsid w:val="00826C66"/>
    <w:rsid w:val="00827968"/>
    <w:rsid w:val="0083420A"/>
    <w:rsid w:val="00850F85"/>
    <w:rsid w:val="008529E2"/>
    <w:rsid w:val="0085346D"/>
    <w:rsid w:val="008554E8"/>
    <w:rsid w:val="00856A1D"/>
    <w:rsid w:val="008643D5"/>
    <w:rsid w:val="00870653"/>
    <w:rsid w:val="00872D29"/>
    <w:rsid w:val="008761B1"/>
    <w:rsid w:val="00876382"/>
    <w:rsid w:val="008773BD"/>
    <w:rsid w:val="008831C6"/>
    <w:rsid w:val="0088516D"/>
    <w:rsid w:val="008923CB"/>
    <w:rsid w:val="008929FF"/>
    <w:rsid w:val="00892AF3"/>
    <w:rsid w:val="00896822"/>
    <w:rsid w:val="008A3E32"/>
    <w:rsid w:val="008A40FA"/>
    <w:rsid w:val="008B4BD3"/>
    <w:rsid w:val="008B50AE"/>
    <w:rsid w:val="008B59A3"/>
    <w:rsid w:val="008C58A6"/>
    <w:rsid w:val="008D38B9"/>
    <w:rsid w:val="008D76BE"/>
    <w:rsid w:val="008E1918"/>
    <w:rsid w:val="008F021C"/>
    <w:rsid w:val="0091617E"/>
    <w:rsid w:val="009225ED"/>
    <w:rsid w:val="0092349F"/>
    <w:rsid w:val="0093186D"/>
    <w:rsid w:val="00935535"/>
    <w:rsid w:val="0093732B"/>
    <w:rsid w:val="00940551"/>
    <w:rsid w:val="00942722"/>
    <w:rsid w:val="00944C93"/>
    <w:rsid w:val="00950965"/>
    <w:rsid w:val="00955AC5"/>
    <w:rsid w:val="00957F01"/>
    <w:rsid w:val="00960227"/>
    <w:rsid w:val="00967707"/>
    <w:rsid w:val="00967B49"/>
    <w:rsid w:val="0097116B"/>
    <w:rsid w:val="009729BB"/>
    <w:rsid w:val="00987114"/>
    <w:rsid w:val="00992CD2"/>
    <w:rsid w:val="009946A7"/>
    <w:rsid w:val="00994EB4"/>
    <w:rsid w:val="009A22DE"/>
    <w:rsid w:val="009A2CB6"/>
    <w:rsid w:val="009A48C6"/>
    <w:rsid w:val="009C1078"/>
    <w:rsid w:val="009C1563"/>
    <w:rsid w:val="009C2B69"/>
    <w:rsid w:val="009C43AB"/>
    <w:rsid w:val="009C5743"/>
    <w:rsid w:val="009C5CFE"/>
    <w:rsid w:val="009C7253"/>
    <w:rsid w:val="009E3440"/>
    <w:rsid w:val="009E615A"/>
    <w:rsid w:val="009E7032"/>
    <w:rsid w:val="009F26E9"/>
    <w:rsid w:val="009F6AE4"/>
    <w:rsid w:val="009F7136"/>
    <w:rsid w:val="00A01120"/>
    <w:rsid w:val="00A01221"/>
    <w:rsid w:val="00A03375"/>
    <w:rsid w:val="00A2555D"/>
    <w:rsid w:val="00A25ACD"/>
    <w:rsid w:val="00A31985"/>
    <w:rsid w:val="00A4545C"/>
    <w:rsid w:val="00A45BB1"/>
    <w:rsid w:val="00A54728"/>
    <w:rsid w:val="00A562E1"/>
    <w:rsid w:val="00A66E2C"/>
    <w:rsid w:val="00A7087E"/>
    <w:rsid w:val="00A77D70"/>
    <w:rsid w:val="00A83ECA"/>
    <w:rsid w:val="00A845F8"/>
    <w:rsid w:val="00AA72F9"/>
    <w:rsid w:val="00AB1725"/>
    <w:rsid w:val="00AB370F"/>
    <w:rsid w:val="00AC4104"/>
    <w:rsid w:val="00AD010F"/>
    <w:rsid w:val="00AD06E7"/>
    <w:rsid w:val="00AF457C"/>
    <w:rsid w:val="00AF6784"/>
    <w:rsid w:val="00AF6A15"/>
    <w:rsid w:val="00B1151A"/>
    <w:rsid w:val="00B22B1D"/>
    <w:rsid w:val="00B231DC"/>
    <w:rsid w:val="00B26D9E"/>
    <w:rsid w:val="00B3731C"/>
    <w:rsid w:val="00B50ACA"/>
    <w:rsid w:val="00B627CF"/>
    <w:rsid w:val="00B63909"/>
    <w:rsid w:val="00B737C2"/>
    <w:rsid w:val="00B7735E"/>
    <w:rsid w:val="00B774C1"/>
    <w:rsid w:val="00B845EB"/>
    <w:rsid w:val="00B90EF8"/>
    <w:rsid w:val="00B9286B"/>
    <w:rsid w:val="00BA1AB3"/>
    <w:rsid w:val="00BA5342"/>
    <w:rsid w:val="00BB25A7"/>
    <w:rsid w:val="00BB2743"/>
    <w:rsid w:val="00BB3E98"/>
    <w:rsid w:val="00BB46C2"/>
    <w:rsid w:val="00BC33B0"/>
    <w:rsid w:val="00BD2E42"/>
    <w:rsid w:val="00BD5E49"/>
    <w:rsid w:val="00BE02FD"/>
    <w:rsid w:val="00BE303E"/>
    <w:rsid w:val="00BE3D38"/>
    <w:rsid w:val="00BE3D98"/>
    <w:rsid w:val="00BF0068"/>
    <w:rsid w:val="00C00C5C"/>
    <w:rsid w:val="00C0121D"/>
    <w:rsid w:val="00C2264C"/>
    <w:rsid w:val="00C23038"/>
    <w:rsid w:val="00C32ABF"/>
    <w:rsid w:val="00C40AE9"/>
    <w:rsid w:val="00C43250"/>
    <w:rsid w:val="00C47794"/>
    <w:rsid w:val="00C52D85"/>
    <w:rsid w:val="00C60343"/>
    <w:rsid w:val="00C7104A"/>
    <w:rsid w:val="00C822F0"/>
    <w:rsid w:val="00C83037"/>
    <w:rsid w:val="00C86702"/>
    <w:rsid w:val="00C90021"/>
    <w:rsid w:val="00CA635D"/>
    <w:rsid w:val="00CB0044"/>
    <w:rsid w:val="00CB1B5F"/>
    <w:rsid w:val="00CB25E1"/>
    <w:rsid w:val="00CB4699"/>
    <w:rsid w:val="00CB5508"/>
    <w:rsid w:val="00CC6E3F"/>
    <w:rsid w:val="00CC78D1"/>
    <w:rsid w:val="00CD0254"/>
    <w:rsid w:val="00CD44F6"/>
    <w:rsid w:val="00CE0FDC"/>
    <w:rsid w:val="00CF06D4"/>
    <w:rsid w:val="00CF3DB5"/>
    <w:rsid w:val="00CF786F"/>
    <w:rsid w:val="00CF7879"/>
    <w:rsid w:val="00D010FB"/>
    <w:rsid w:val="00D1277F"/>
    <w:rsid w:val="00D23605"/>
    <w:rsid w:val="00D23795"/>
    <w:rsid w:val="00D278A3"/>
    <w:rsid w:val="00D27FF4"/>
    <w:rsid w:val="00D3131C"/>
    <w:rsid w:val="00D421A6"/>
    <w:rsid w:val="00D55206"/>
    <w:rsid w:val="00D55A08"/>
    <w:rsid w:val="00D645A5"/>
    <w:rsid w:val="00D67AE6"/>
    <w:rsid w:val="00D727A0"/>
    <w:rsid w:val="00D76F30"/>
    <w:rsid w:val="00D834BA"/>
    <w:rsid w:val="00D872BB"/>
    <w:rsid w:val="00D91C43"/>
    <w:rsid w:val="00D92A75"/>
    <w:rsid w:val="00D9389B"/>
    <w:rsid w:val="00DA0EA1"/>
    <w:rsid w:val="00DA3A80"/>
    <w:rsid w:val="00DA4704"/>
    <w:rsid w:val="00DA71CD"/>
    <w:rsid w:val="00DD114A"/>
    <w:rsid w:val="00DE15C4"/>
    <w:rsid w:val="00DE2A0A"/>
    <w:rsid w:val="00DF1BCE"/>
    <w:rsid w:val="00DF1C90"/>
    <w:rsid w:val="00DF77AF"/>
    <w:rsid w:val="00E01634"/>
    <w:rsid w:val="00E029C5"/>
    <w:rsid w:val="00E12DA3"/>
    <w:rsid w:val="00E12FE6"/>
    <w:rsid w:val="00E132A6"/>
    <w:rsid w:val="00E15819"/>
    <w:rsid w:val="00E16C19"/>
    <w:rsid w:val="00E210FF"/>
    <w:rsid w:val="00E2248C"/>
    <w:rsid w:val="00E22562"/>
    <w:rsid w:val="00E2612E"/>
    <w:rsid w:val="00E316EC"/>
    <w:rsid w:val="00E31E0A"/>
    <w:rsid w:val="00E3265B"/>
    <w:rsid w:val="00E47075"/>
    <w:rsid w:val="00E51F4D"/>
    <w:rsid w:val="00E524F7"/>
    <w:rsid w:val="00E52A01"/>
    <w:rsid w:val="00E53019"/>
    <w:rsid w:val="00E57C3D"/>
    <w:rsid w:val="00E64134"/>
    <w:rsid w:val="00E65BFE"/>
    <w:rsid w:val="00E81BC8"/>
    <w:rsid w:val="00E84E52"/>
    <w:rsid w:val="00E8658F"/>
    <w:rsid w:val="00E873F3"/>
    <w:rsid w:val="00E928CD"/>
    <w:rsid w:val="00E96210"/>
    <w:rsid w:val="00EA4985"/>
    <w:rsid w:val="00EA737D"/>
    <w:rsid w:val="00EB0696"/>
    <w:rsid w:val="00EB0A78"/>
    <w:rsid w:val="00EB0CAA"/>
    <w:rsid w:val="00EB1882"/>
    <w:rsid w:val="00EB44DE"/>
    <w:rsid w:val="00EB47B8"/>
    <w:rsid w:val="00EB61AA"/>
    <w:rsid w:val="00EC0B70"/>
    <w:rsid w:val="00EC4221"/>
    <w:rsid w:val="00EC4826"/>
    <w:rsid w:val="00ED13D9"/>
    <w:rsid w:val="00ED194F"/>
    <w:rsid w:val="00ED37CB"/>
    <w:rsid w:val="00ED4D0E"/>
    <w:rsid w:val="00ED64A6"/>
    <w:rsid w:val="00EE044C"/>
    <w:rsid w:val="00EE63CA"/>
    <w:rsid w:val="00EF2476"/>
    <w:rsid w:val="00F01832"/>
    <w:rsid w:val="00F14303"/>
    <w:rsid w:val="00F14BAA"/>
    <w:rsid w:val="00F16699"/>
    <w:rsid w:val="00F23C8E"/>
    <w:rsid w:val="00F23E6C"/>
    <w:rsid w:val="00F26F1E"/>
    <w:rsid w:val="00F3262B"/>
    <w:rsid w:val="00F32753"/>
    <w:rsid w:val="00F3291B"/>
    <w:rsid w:val="00F33C82"/>
    <w:rsid w:val="00F35B29"/>
    <w:rsid w:val="00F36CF9"/>
    <w:rsid w:val="00F378CE"/>
    <w:rsid w:val="00F37E33"/>
    <w:rsid w:val="00F40600"/>
    <w:rsid w:val="00F40DEE"/>
    <w:rsid w:val="00F42E06"/>
    <w:rsid w:val="00F44B27"/>
    <w:rsid w:val="00F45501"/>
    <w:rsid w:val="00F47BF1"/>
    <w:rsid w:val="00F51CFB"/>
    <w:rsid w:val="00F51FC7"/>
    <w:rsid w:val="00F5749F"/>
    <w:rsid w:val="00F57E41"/>
    <w:rsid w:val="00F57F3E"/>
    <w:rsid w:val="00F669CD"/>
    <w:rsid w:val="00F73672"/>
    <w:rsid w:val="00F7688A"/>
    <w:rsid w:val="00F80FBD"/>
    <w:rsid w:val="00F843C0"/>
    <w:rsid w:val="00F85051"/>
    <w:rsid w:val="00F85612"/>
    <w:rsid w:val="00F86289"/>
    <w:rsid w:val="00F876A2"/>
    <w:rsid w:val="00F91523"/>
    <w:rsid w:val="00F92A87"/>
    <w:rsid w:val="00FA4B81"/>
    <w:rsid w:val="00FB03A8"/>
    <w:rsid w:val="00FB25B3"/>
    <w:rsid w:val="00FB29B8"/>
    <w:rsid w:val="00FB49F7"/>
    <w:rsid w:val="00FB623F"/>
    <w:rsid w:val="00FC0A9E"/>
    <w:rsid w:val="00FC0B6E"/>
    <w:rsid w:val="00FC1F34"/>
    <w:rsid w:val="00FC611C"/>
    <w:rsid w:val="00FC6BDB"/>
    <w:rsid w:val="00FC76AE"/>
    <w:rsid w:val="00FD4129"/>
    <w:rsid w:val="00FE02B3"/>
    <w:rsid w:val="00FE4B97"/>
    <w:rsid w:val="00FE50C3"/>
    <w:rsid w:val="00FE6006"/>
    <w:rsid w:val="00FE6876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BC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029C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FB03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FB03A8"/>
    <w:rPr>
      <w:rFonts w:ascii="Consolas" w:hAnsi="Consolas"/>
      <w:sz w:val="21"/>
      <w:szCs w:val="21"/>
    </w:rPr>
  </w:style>
  <w:style w:type="character" w:customStyle="1" w:styleId="Nadpis1Char">
    <w:name w:val="Nadpis 1 Char"/>
    <w:link w:val="Nadpis1"/>
    <w:uiPriority w:val="9"/>
    <w:rsid w:val="00E029C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znam">
    <w:name w:val="List"/>
    <w:basedOn w:val="Normln"/>
    <w:uiPriority w:val="99"/>
    <w:unhideWhenUsed/>
    <w:rsid w:val="00E029C5"/>
    <w:pPr>
      <w:ind w:left="283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E029C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029C5"/>
  </w:style>
  <w:style w:type="paragraph" w:styleId="Zhlav">
    <w:name w:val="header"/>
    <w:basedOn w:val="Normln"/>
    <w:link w:val="ZhlavChar"/>
    <w:uiPriority w:val="99"/>
    <w:unhideWhenUsed/>
    <w:rsid w:val="004D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4D766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4D766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D766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15382F"/>
    <w:rPr>
      <w:color w:val="0000FF"/>
      <w:u w:val="single"/>
    </w:rPr>
  </w:style>
  <w:style w:type="paragraph" w:styleId="Bezmezer">
    <w:name w:val="No Spacing"/>
    <w:uiPriority w:val="1"/>
    <w:qFormat/>
    <w:rsid w:val="00805F22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8D38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38B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D38B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8B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8B9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cistajihlava.cz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dseda@cistajihlava.cz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954DA-883B-4FC2-8D87-030FFA93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1054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Links>
    <vt:vector size="12" baseType="variant">
      <vt:variant>
        <vt:i4>6029428</vt:i4>
      </vt:variant>
      <vt:variant>
        <vt:i4>3</vt:i4>
      </vt:variant>
      <vt:variant>
        <vt:i4>0</vt:i4>
      </vt:variant>
      <vt:variant>
        <vt:i4>5</vt:i4>
      </vt:variant>
      <vt:variant>
        <vt:lpwstr>mailto:predseda@cistajihlava.cz</vt:lpwstr>
      </vt:variant>
      <vt:variant>
        <vt:lpwstr/>
      </vt:variant>
      <vt:variant>
        <vt:i4>5832819</vt:i4>
      </vt:variant>
      <vt:variant>
        <vt:i4>0</vt:i4>
      </vt:variant>
      <vt:variant>
        <vt:i4>0</vt:i4>
      </vt:variant>
      <vt:variant>
        <vt:i4>5</vt:i4>
      </vt:variant>
      <vt:variant>
        <vt:lpwstr>mailto:podatelna@cistajihlava.cz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Stanice</cp:lastModifiedBy>
  <cp:revision>2</cp:revision>
  <cp:lastPrinted>2022-06-22T11:28:00Z</cp:lastPrinted>
  <dcterms:created xsi:type="dcterms:W3CDTF">2022-12-12T13:59:00Z</dcterms:created>
  <dcterms:modified xsi:type="dcterms:W3CDTF">2022-12-12T13:59:00Z</dcterms:modified>
</cp:coreProperties>
</file>